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20" w:rsidRPr="00445566" w:rsidRDefault="00CE686C" w:rsidP="00FC699D">
      <w:pPr>
        <w:pStyle w:val="JUDUL"/>
        <w:rPr>
          <w:rFonts w:ascii="Walisongo" w:hAnsi="Walisongo"/>
        </w:rPr>
      </w:pPr>
      <w:bookmarkStart w:id="0" w:name="_GoBack"/>
      <w:bookmarkEnd w:id="0"/>
      <w:r w:rsidRPr="00445566">
        <w:rPr>
          <w:rFonts w:ascii="Walisongo" w:hAnsi="Walisongo"/>
        </w:rPr>
        <w:t>TYPE THE TITLE OF YOUR PAPER HERE</w:t>
      </w:r>
      <w:r w:rsidR="0056000E" w:rsidRPr="00445566">
        <w:rPr>
          <w:rFonts w:ascii="Walisongo" w:hAnsi="Walisongo"/>
        </w:rPr>
        <w:t xml:space="preserve"> </w:t>
      </w:r>
    </w:p>
    <w:p w:rsidR="009B3EBF" w:rsidRPr="00445566" w:rsidRDefault="009B3EBF" w:rsidP="00EB5EDD">
      <w:pPr>
        <w:pStyle w:val="PENULIS"/>
        <w:rPr>
          <w:rFonts w:ascii="Walisongo" w:hAnsi="Walisongo"/>
        </w:rPr>
      </w:pPr>
      <w:r w:rsidRPr="00445566">
        <w:rPr>
          <w:rFonts w:ascii="Walisongo" w:hAnsi="Walisongo"/>
        </w:rPr>
        <w:t>First Author</w:t>
      </w:r>
      <w:r w:rsidR="00EB5EDD" w:rsidRPr="00445566">
        <w:rPr>
          <w:rStyle w:val="FootnoteReference"/>
          <w:rFonts w:ascii="Walisongo" w:hAnsi="Walisongo"/>
        </w:rPr>
        <w:footnoteReference w:id="1"/>
      </w:r>
      <w:r w:rsidRPr="00445566">
        <w:rPr>
          <w:rFonts w:ascii="Walisongo" w:hAnsi="Walisongo"/>
        </w:rPr>
        <w:t>, SECOND Author</w:t>
      </w:r>
      <w:r w:rsidRPr="00445566">
        <w:rPr>
          <w:rFonts w:ascii="Walisongo" w:hAnsi="Walisongo"/>
          <w:vertAlign w:val="superscript"/>
        </w:rPr>
        <w:t>2</w:t>
      </w:r>
      <w:r w:rsidRPr="00445566">
        <w:rPr>
          <w:rFonts w:ascii="Walisongo" w:hAnsi="Walisongo"/>
        </w:rPr>
        <w:t>, THIRD Author</w:t>
      </w:r>
      <w:r w:rsidRPr="00445566">
        <w:rPr>
          <w:rFonts w:ascii="Walisongo" w:hAnsi="Walisongo"/>
          <w:vertAlign w:val="superscript"/>
        </w:rPr>
        <w:t>3</w:t>
      </w:r>
    </w:p>
    <w:p w:rsidR="009B3EBF" w:rsidRPr="00445566" w:rsidRDefault="009B3EBF" w:rsidP="00EB5EDD">
      <w:pPr>
        <w:pStyle w:val="INSTANSI"/>
        <w:spacing w:after="480"/>
        <w:rPr>
          <w:rFonts w:ascii="Walisongo" w:hAnsi="Walisongo"/>
        </w:rPr>
      </w:pPr>
      <w:r w:rsidRPr="00445566">
        <w:rPr>
          <w:rFonts w:ascii="Walisongo" w:hAnsi="Walisongo"/>
          <w:vertAlign w:val="superscript"/>
        </w:rPr>
        <w:t>1</w:t>
      </w:r>
      <w:r w:rsidRPr="00445566">
        <w:rPr>
          <w:rFonts w:ascii="Walisongo" w:hAnsi="Walisongo"/>
        </w:rPr>
        <w:t xml:space="preserve">First affiliation, </w:t>
      </w:r>
      <w:r w:rsidRPr="00445566">
        <w:rPr>
          <w:rFonts w:ascii="Walisongo" w:hAnsi="Walisongo"/>
          <w:vertAlign w:val="superscript"/>
        </w:rPr>
        <w:t>2</w:t>
      </w:r>
      <w:r w:rsidRPr="00445566">
        <w:rPr>
          <w:rFonts w:ascii="Walisongo" w:hAnsi="Walisongo"/>
        </w:rPr>
        <w:t xml:space="preserve"> Second affiliation, </w:t>
      </w:r>
      <w:r w:rsidRPr="00445566">
        <w:rPr>
          <w:rFonts w:ascii="Walisongo" w:hAnsi="Walisongo"/>
          <w:vertAlign w:val="superscript"/>
        </w:rPr>
        <w:t>3</w:t>
      </w:r>
      <w:r w:rsidRPr="00445566">
        <w:rPr>
          <w:rFonts w:ascii="Walisongo" w:hAnsi="Walisongo"/>
        </w:rPr>
        <w:t xml:space="preserve">Third affiliation </w:t>
      </w:r>
    </w:p>
    <w:p w:rsidR="00D47820" w:rsidRPr="00445566" w:rsidRDefault="0056000E" w:rsidP="007979FE">
      <w:pPr>
        <w:pStyle w:val="ABSTRACTJUDUL"/>
        <w:rPr>
          <w:rFonts w:ascii="Walisongo" w:hAnsi="Walisongo"/>
        </w:rPr>
      </w:pPr>
      <w:r w:rsidRPr="00445566">
        <w:rPr>
          <w:rFonts w:ascii="Walisongo" w:hAnsi="Walisongo"/>
        </w:rPr>
        <w:t>Abstract</w:t>
      </w:r>
      <w:r w:rsidRPr="00445566">
        <w:rPr>
          <w:rFonts w:ascii="Walisongo" w:eastAsia="Cambria" w:hAnsi="Walisongo" w:cs="Cambria"/>
        </w:rPr>
        <w:t xml:space="preserve"> </w:t>
      </w:r>
    </w:p>
    <w:p w:rsidR="00D47820" w:rsidRPr="00445566" w:rsidRDefault="00CE686C" w:rsidP="00445566">
      <w:pPr>
        <w:pStyle w:val="ABSTRACT"/>
        <w:rPr>
          <w:rFonts w:ascii="Walisongo" w:hAnsi="Walisongo"/>
        </w:rPr>
      </w:pPr>
      <w:r w:rsidRPr="00445566">
        <w:rPr>
          <w:rFonts w:ascii="Walisongo" w:hAnsi="Walisongo"/>
        </w:rPr>
        <w:t>Write your abstract here</w:t>
      </w:r>
      <w:r w:rsidR="00CD3B70" w:rsidRPr="00445566">
        <w:rPr>
          <w:rFonts w:ascii="Walisongo" w:hAnsi="Walisongo"/>
        </w:rPr>
        <w:t xml:space="preserve"> in English and Bahasa. Abstract </w:t>
      </w:r>
      <w:r w:rsidR="005C0CFA" w:rsidRPr="00445566">
        <w:rPr>
          <w:rFonts w:ascii="Walisongo" w:hAnsi="Walisongo"/>
        </w:rPr>
        <w:t xml:space="preserve">is </w:t>
      </w:r>
      <w:r w:rsidR="00CD3B70" w:rsidRPr="00445566">
        <w:rPr>
          <w:rFonts w:ascii="Walisongo" w:hAnsi="Walisongo"/>
        </w:rPr>
        <w:t xml:space="preserve">written in </w:t>
      </w:r>
      <w:r w:rsidR="005C0CFA" w:rsidRPr="00445566">
        <w:rPr>
          <w:rFonts w:ascii="Walisongo" w:hAnsi="Walisongo"/>
        </w:rPr>
        <w:t>E</w:t>
      </w:r>
      <w:r w:rsidR="00CD3B70" w:rsidRPr="00445566">
        <w:rPr>
          <w:rFonts w:ascii="Walisongo" w:hAnsi="Walisongo"/>
        </w:rPr>
        <w:t xml:space="preserve">nglish and </w:t>
      </w:r>
      <w:r w:rsidR="005C0CFA" w:rsidRPr="00445566">
        <w:rPr>
          <w:rFonts w:ascii="Walisongo" w:hAnsi="Walisongo"/>
        </w:rPr>
        <w:t>B</w:t>
      </w:r>
      <w:r w:rsidR="00CD3B70" w:rsidRPr="00445566">
        <w:rPr>
          <w:rFonts w:ascii="Walisongo" w:hAnsi="Walisongo"/>
        </w:rPr>
        <w:t xml:space="preserve">ahasa </w:t>
      </w:r>
      <w:r w:rsidR="005C0CFA" w:rsidRPr="00445566">
        <w:rPr>
          <w:rFonts w:ascii="Walisongo" w:hAnsi="Walisongo"/>
        </w:rPr>
        <w:t xml:space="preserve">with </w:t>
      </w:r>
      <w:r w:rsidR="00CD3B70" w:rsidRPr="00445566">
        <w:rPr>
          <w:rFonts w:ascii="Walisongo" w:hAnsi="Walisongo"/>
        </w:rPr>
        <w:t>maximum length 2</w:t>
      </w:r>
      <w:r w:rsidR="00445566" w:rsidRPr="00445566">
        <w:rPr>
          <w:rFonts w:ascii="Walisongo" w:hAnsi="Walisongo"/>
        </w:rPr>
        <w:t>5</w:t>
      </w:r>
      <w:r w:rsidR="00CD3B70" w:rsidRPr="00445566">
        <w:rPr>
          <w:rFonts w:ascii="Walisongo" w:hAnsi="Walisongo"/>
        </w:rPr>
        <w:t>0 words</w:t>
      </w:r>
      <w:r w:rsidR="005C0CFA" w:rsidRPr="00445566">
        <w:rPr>
          <w:rFonts w:ascii="Walisongo" w:hAnsi="Walisongo"/>
        </w:rPr>
        <w:t xml:space="preserve"> each</w:t>
      </w:r>
      <w:r w:rsidR="00CD3B70" w:rsidRPr="00445566">
        <w:rPr>
          <w:rFonts w:ascii="Walisongo" w:hAnsi="Walisongo"/>
        </w:rPr>
        <w:t xml:space="preserve">, explaining introduction, method, </w:t>
      </w:r>
      <w:r w:rsidR="00CD3B70" w:rsidRPr="00445566">
        <w:rPr>
          <w:rFonts w:ascii="Walisongo" w:hAnsi="Walisongo"/>
          <w:noProof/>
        </w:rPr>
        <w:t>result</w:t>
      </w:r>
      <w:r w:rsidR="00CD3B70" w:rsidRPr="00445566">
        <w:rPr>
          <w:rFonts w:ascii="Walisongo" w:hAnsi="Walisongo"/>
        </w:rPr>
        <w:t xml:space="preserve"> and discussion.</w:t>
      </w:r>
      <w:r w:rsidR="0056000E" w:rsidRPr="00445566">
        <w:rPr>
          <w:rFonts w:ascii="Walisongo" w:hAnsi="Walisongo"/>
          <w:sz w:val="18"/>
        </w:rPr>
        <w:t xml:space="preserve"> </w:t>
      </w:r>
    </w:p>
    <w:p w:rsidR="00D47820" w:rsidRPr="00445566" w:rsidRDefault="0056000E" w:rsidP="002A577F">
      <w:pPr>
        <w:pStyle w:val="KEYWORD"/>
        <w:spacing w:after="480"/>
        <w:rPr>
          <w:rFonts w:ascii="Walisongo" w:hAnsi="Walisongo"/>
          <w:i/>
          <w:iCs/>
        </w:rPr>
      </w:pPr>
      <w:r w:rsidRPr="00445566">
        <w:rPr>
          <w:rFonts w:ascii="Walisongo" w:hAnsi="Walisongo"/>
          <w:b/>
          <w:bCs w:val="0"/>
          <w:i/>
          <w:iCs/>
        </w:rPr>
        <w:t>Keywords:</w:t>
      </w:r>
      <w:r w:rsidR="005E2D51" w:rsidRPr="00445566">
        <w:rPr>
          <w:rFonts w:ascii="Walisongo" w:hAnsi="Walisongo"/>
          <w:b/>
          <w:bCs w:val="0"/>
          <w:i/>
          <w:iCs/>
        </w:rPr>
        <w:t xml:space="preserve"> </w:t>
      </w:r>
      <w:r w:rsidR="00F16604" w:rsidRPr="00445566">
        <w:rPr>
          <w:rFonts w:ascii="Walisongo" w:hAnsi="Walisongo"/>
          <w:b/>
          <w:bCs w:val="0"/>
          <w:i/>
          <w:iCs/>
        </w:rPr>
        <w:tab/>
      </w:r>
      <w:r w:rsidR="00CD3B70" w:rsidRPr="00445566">
        <w:rPr>
          <w:rFonts w:ascii="Walisongo" w:hAnsi="Walisongo"/>
          <w:i/>
          <w:iCs/>
        </w:rPr>
        <w:t>Keywords contain three to five words/phrases separated with semicolon, and arranged by alphabetic.</w:t>
      </w:r>
    </w:p>
    <w:p w:rsidR="00922FD1" w:rsidRPr="00445566" w:rsidRDefault="00922FD1" w:rsidP="005E2D51">
      <w:pPr>
        <w:pStyle w:val="JUDULSUB"/>
        <w:spacing w:after="0"/>
        <w:rPr>
          <w:rFonts w:ascii="Walisongo" w:hAnsi="Walisongo"/>
        </w:rPr>
      </w:pPr>
      <w:r w:rsidRPr="00445566">
        <w:rPr>
          <w:rFonts w:ascii="Walisongo" w:hAnsi="Walisongo"/>
        </w:rPr>
        <w:t>Writing Structure</w:t>
      </w:r>
    </w:p>
    <w:p w:rsidR="00922FD1" w:rsidRPr="00445566" w:rsidRDefault="00922FD1" w:rsidP="005C0CFA">
      <w:pPr>
        <w:pStyle w:val="ISI"/>
        <w:rPr>
          <w:rFonts w:ascii="Walisongo" w:hAnsi="Walisongo"/>
        </w:rPr>
      </w:pPr>
      <w:r w:rsidRPr="00445566">
        <w:rPr>
          <w:rFonts w:ascii="Walisongo" w:hAnsi="Walisongo"/>
        </w:rPr>
        <w:t xml:space="preserve">The </w:t>
      </w:r>
      <w:r w:rsidR="00A01B39" w:rsidRPr="00445566">
        <w:rPr>
          <w:rFonts w:ascii="Walisongo" w:hAnsi="Walisongo"/>
        </w:rPr>
        <w:t xml:space="preserve">paper </w:t>
      </w:r>
      <w:r w:rsidRPr="00445566">
        <w:rPr>
          <w:rFonts w:ascii="Walisongo" w:hAnsi="Walisongo"/>
        </w:rPr>
        <w:t>should begin with title, abstract, and keyword</w:t>
      </w:r>
      <w:r w:rsidR="005C0CFA" w:rsidRPr="00445566">
        <w:rPr>
          <w:rFonts w:ascii="Walisongo" w:hAnsi="Walisongo"/>
        </w:rPr>
        <w:t>s</w:t>
      </w:r>
      <w:r w:rsidRPr="00445566">
        <w:rPr>
          <w:rFonts w:ascii="Walisongo" w:hAnsi="Walisongo"/>
        </w:rPr>
        <w:t xml:space="preserve">. The main </w:t>
      </w:r>
      <w:r w:rsidR="00A01B39" w:rsidRPr="00445566">
        <w:rPr>
          <w:rFonts w:ascii="Walisongo" w:hAnsi="Walisongo"/>
        </w:rPr>
        <w:t xml:space="preserve">manuscript </w:t>
      </w:r>
      <w:r w:rsidRPr="00445566">
        <w:rPr>
          <w:rFonts w:ascii="Walisongo" w:hAnsi="Walisongo"/>
        </w:rPr>
        <w:t xml:space="preserve">should consist of: Introduction, Result, Discussion, and Conclusion; followed by </w:t>
      </w:r>
      <w:r w:rsidR="005C0CFA" w:rsidRPr="00445566">
        <w:rPr>
          <w:rFonts w:ascii="Walisongo" w:hAnsi="Walisongo"/>
        </w:rPr>
        <w:t>Bibliography</w:t>
      </w:r>
      <w:r w:rsidRPr="00445566">
        <w:rPr>
          <w:rFonts w:ascii="Walisongo" w:hAnsi="Walisongo"/>
        </w:rPr>
        <w:t>.</w:t>
      </w:r>
    </w:p>
    <w:p w:rsidR="00922FD1" w:rsidRPr="00445566" w:rsidRDefault="00922FD1" w:rsidP="00922FD1">
      <w:pPr>
        <w:pStyle w:val="JUDULSUB"/>
        <w:spacing w:after="0"/>
        <w:ind w:left="397" w:hanging="397"/>
        <w:rPr>
          <w:rFonts w:ascii="Walisongo" w:hAnsi="Walisongo"/>
          <w:b w:val="0"/>
          <w:bCs/>
          <w:i/>
          <w:iCs/>
        </w:rPr>
      </w:pPr>
      <w:r w:rsidRPr="00445566">
        <w:rPr>
          <w:rFonts w:ascii="Walisongo" w:hAnsi="Walisongo"/>
          <w:b w:val="0"/>
          <w:bCs/>
          <w:i/>
          <w:iCs/>
        </w:rPr>
        <w:t>a.</w:t>
      </w:r>
      <w:r w:rsidRPr="00445566">
        <w:rPr>
          <w:rFonts w:ascii="Walisongo" w:hAnsi="Walisongo"/>
          <w:b w:val="0"/>
          <w:bCs/>
          <w:i/>
          <w:iCs/>
        </w:rPr>
        <w:tab/>
        <w:t xml:space="preserve">Title </w:t>
      </w:r>
    </w:p>
    <w:p w:rsidR="00922FD1" w:rsidRPr="00445566" w:rsidRDefault="00922FD1" w:rsidP="00CD57EC">
      <w:pPr>
        <w:pStyle w:val="ISI"/>
        <w:rPr>
          <w:rFonts w:ascii="Walisongo" w:hAnsi="Walisongo"/>
        </w:rPr>
      </w:pPr>
      <w:r w:rsidRPr="00445566">
        <w:rPr>
          <w:rFonts w:ascii="Walisongo" w:hAnsi="Walisongo"/>
        </w:rPr>
        <w:t xml:space="preserve">The title of the paper should be concise and informative. Titles are often used in information-retrieval systems. </w:t>
      </w:r>
      <w:r w:rsidR="00CD57EC" w:rsidRPr="00445566">
        <w:rPr>
          <w:rFonts w:ascii="Walisongo" w:hAnsi="Walisongo"/>
        </w:rPr>
        <w:t>Avoid abbreviations and formula</w:t>
      </w:r>
      <w:r w:rsidRPr="00445566">
        <w:rPr>
          <w:rFonts w:ascii="Walisongo" w:hAnsi="Walisongo"/>
        </w:rPr>
        <w:t xml:space="preserve"> </w:t>
      </w:r>
      <w:r w:rsidR="00CD57EC" w:rsidRPr="00445566">
        <w:rPr>
          <w:rFonts w:ascii="Walisongo" w:hAnsi="Walisongo"/>
        </w:rPr>
        <w:t xml:space="preserve">if </w:t>
      </w:r>
      <w:r w:rsidRPr="00445566">
        <w:rPr>
          <w:rFonts w:ascii="Walisongo" w:hAnsi="Walisongo"/>
        </w:rPr>
        <w:t>possible.</w:t>
      </w:r>
    </w:p>
    <w:p w:rsidR="00922FD1" w:rsidRPr="00445566" w:rsidRDefault="00922FD1" w:rsidP="00922FD1">
      <w:pPr>
        <w:pStyle w:val="JUDULSUB"/>
        <w:spacing w:after="0"/>
        <w:ind w:left="397" w:hanging="397"/>
        <w:rPr>
          <w:rFonts w:ascii="Walisongo" w:hAnsi="Walisongo"/>
          <w:b w:val="0"/>
          <w:bCs/>
          <w:i/>
          <w:iCs/>
        </w:rPr>
      </w:pPr>
      <w:r w:rsidRPr="00445566">
        <w:rPr>
          <w:rFonts w:ascii="Walisongo" w:hAnsi="Walisongo"/>
          <w:b w:val="0"/>
          <w:bCs/>
          <w:i/>
          <w:iCs/>
        </w:rPr>
        <w:t>b.</w:t>
      </w:r>
      <w:r w:rsidRPr="00445566">
        <w:rPr>
          <w:rFonts w:ascii="Walisongo" w:hAnsi="Walisongo"/>
          <w:b w:val="0"/>
          <w:bCs/>
          <w:i/>
          <w:iCs/>
        </w:rPr>
        <w:tab/>
        <w:t>Abstract</w:t>
      </w:r>
    </w:p>
    <w:p w:rsidR="00922FD1" w:rsidRPr="00445566" w:rsidRDefault="00CD57EC" w:rsidP="00CD57EC">
      <w:pPr>
        <w:pStyle w:val="ISI"/>
        <w:rPr>
          <w:rFonts w:ascii="Walisongo" w:hAnsi="Walisongo"/>
        </w:rPr>
      </w:pPr>
      <w:r w:rsidRPr="00445566">
        <w:rPr>
          <w:rFonts w:ascii="Walisongo" w:hAnsi="Walisongo"/>
        </w:rPr>
        <w:t>The abstract should be concise and</w:t>
      </w:r>
      <w:r w:rsidR="00922FD1" w:rsidRPr="00445566">
        <w:rPr>
          <w:rFonts w:ascii="Walisongo" w:hAnsi="Walisongo"/>
        </w:rPr>
        <w:t xml:space="preserve"> factual, and state briefly the purpose of the research, the principal </w:t>
      </w:r>
      <w:r w:rsidR="00922FD1" w:rsidRPr="00445566">
        <w:rPr>
          <w:rFonts w:ascii="Walisongo" w:hAnsi="Walisongo"/>
          <w:noProof/>
        </w:rPr>
        <w:t>results</w:t>
      </w:r>
      <w:r w:rsidR="00922FD1" w:rsidRPr="00445566">
        <w:rPr>
          <w:rFonts w:ascii="Walisongo" w:hAnsi="Walisongo"/>
        </w:rPr>
        <w:t xml:space="preserve"> and major conclusions. An abstract is often presented separately from the article, so it must be able to stand alone. For this reason, References should be avoided</w:t>
      </w:r>
      <w:r w:rsidRPr="00445566">
        <w:rPr>
          <w:rFonts w:ascii="Walisongo" w:hAnsi="Walisongo"/>
        </w:rPr>
        <w:t xml:space="preserve">, and so do </w:t>
      </w:r>
      <w:r w:rsidR="00922FD1" w:rsidRPr="00445566">
        <w:rPr>
          <w:rFonts w:ascii="Walisongo" w:hAnsi="Walisongo"/>
        </w:rPr>
        <w:t>non-standard or uncommon abbreviations</w:t>
      </w:r>
      <w:r w:rsidRPr="00445566">
        <w:rPr>
          <w:rFonts w:ascii="Walisongo" w:hAnsi="Walisongo"/>
        </w:rPr>
        <w:t>.</w:t>
      </w:r>
      <w:r w:rsidR="00922FD1" w:rsidRPr="00445566">
        <w:rPr>
          <w:rFonts w:ascii="Walisongo" w:hAnsi="Walisongo"/>
        </w:rPr>
        <w:t xml:space="preserve"> </w:t>
      </w:r>
      <w:r w:rsidRPr="00445566">
        <w:rPr>
          <w:rFonts w:ascii="Walisongo" w:hAnsi="Walisongo"/>
        </w:rPr>
        <w:t xml:space="preserve">However, </w:t>
      </w:r>
      <w:r w:rsidR="00922FD1" w:rsidRPr="00445566">
        <w:rPr>
          <w:rFonts w:ascii="Walisongo" w:hAnsi="Walisongo"/>
        </w:rPr>
        <w:t>if essential</w:t>
      </w:r>
      <w:r w:rsidRPr="00445566">
        <w:rPr>
          <w:rFonts w:ascii="Walisongo" w:hAnsi="Walisongo"/>
        </w:rPr>
        <w:t>,</w:t>
      </w:r>
      <w:r w:rsidR="00922FD1" w:rsidRPr="00445566">
        <w:rPr>
          <w:rFonts w:ascii="Walisongo" w:hAnsi="Walisongo"/>
        </w:rPr>
        <w:t xml:space="preserve"> they must be defined at their first mention in the abstract itself</w:t>
      </w:r>
      <w:r w:rsidR="00A01B39" w:rsidRPr="00445566">
        <w:rPr>
          <w:rFonts w:ascii="Walisongo" w:hAnsi="Walisongo"/>
        </w:rPr>
        <w:t>.</w:t>
      </w:r>
    </w:p>
    <w:p w:rsidR="00922FD1" w:rsidRPr="00445566" w:rsidRDefault="00922FD1" w:rsidP="00922FD1">
      <w:pPr>
        <w:pStyle w:val="JUDULSUB"/>
        <w:spacing w:after="0"/>
        <w:ind w:left="397" w:hanging="397"/>
        <w:rPr>
          <w:rFonts w:ascii="Walisongo" w:hAnsi="Walisongo"/>
          <w:b w:val="0"/>
          <w:bCs/>
          <w:i/>
          <w:iCs/>
        </w:rPr>
      </w:pPr>
      <w:r w:rsidRPr="00445566">
        <w:rPr>
          <w:rFonts w:ascii="Walisongo" w:hAnsi="Walisongo"/>
          <w:b w:val="0"/>
          <w:bCs/>
          <w:i/>
          <w:iCs/>
        </w:rPr>
        <w:t>c.</w:t>
      </w:r>
      <w:r w:rsidRPr="00445566">
        <w:rPr>
          <w:rFonts w:ascii="Walisongo" w:hAnsi="Walisongo"/>
          <w:b w:val="0"/>
          <w:bCs/>
          <w:i/>
          <w:iCs/>
        </w:rPr>
        <w:tab/>
        <w:t>Keywords</w:t>
      </w:r>
    </w:p>
    <w:p w:rsidR="00A01B39" w:rsidRPr="00445566" w:rsidRDefault="00A01B39" w:rsidP="00A01B39">
      <w:pPr>
        <w:pStyle w:val="ISI"/>
        <w:rPr>
          <w:rFonts w:ascii="Walisongo" w:hAnsi="Walisongo"/>
        </w:rPr>
      </w:pPr>
      <w:r w:rsidRPr="00445566">
        <w:rPr>
          <w:rFonts w:ascii="Walisongo" w:hAnsi="Walisongo"/>
        </w:rPr>
        <w:lastRenderedPageBreak/>
        <w:t>The keywords should be avoiding general and plural terms and multiple concepts. Be sparing with abbreviations: only abbreviations firmly established in the field may be eligible. These keywords will be used for indexing purposes.</w:t>
      </w:r>
    </w:p>
    <w:p w:rsidR="00D47820" w:rsidRPr="00445566" w:rsidRDefault="00DB6BA5" w:rsidP="00184D6F">
      <w:pPr>
        <w:pStyle w:val="JUDULSUB"/>
        <w:spacing w:after="0"/>
        <w:rPr>
          <w:rFonts w:ascii="Walisongo" w:hAnsi="Walisongo"/>
        </w:rPr>
      </w:pPr>
      <w:r w:rsidRPr="00445566">
        <w:rPr>
          <w:rFonts w:ascii="Walisongo" w:hAnsi="Walisongo"/>
        </w:rPr>
        <w:t>Introduction</w:t>
      </w:r>
    </w:p>
    <w:p w:rsidR="00D47820" w:rsidRPr="00445566" w:rsidRDefault="00CD3B70" w:rsidP="00CD3B70">
      <w:pPr>
        <w:pStyle w:val="ISI"/>
        <w:rPr>
          <w:rFonts w:ascii="Walisongo" w:hAnsi="Walisongo"/>
        </w:rPr>
      </w:pPr>
      <w:r w:rsidRPr="00445566">
        <w:rPr>
          <w:rFonts w:ascii="Walisongo" w:hAnsi="Walisongo"/>
        </w:rPr>
        <w:t>Introduction consisting of background of study, problem, methods, previous research and theoritical framework.</w:t>
      </w:r>
    </w:p>
    <w:p w:rsidR="0084423D" w:rsidRPr="00445566" w:rsidRDefault="0084423D" w:rsidP="00184D6F">
      <w:pPr>
        <w:pStyle w:val="JUDULSUB"/>
        <w:spacing w:after="0"/>
        <w:rPr>
          <w:rFonts w:ascii="Walisongo" w:hAnsi="Walisongo"/>
        </w:rPr>
      </w:pPr>
      <w:r w:rsidRPr="00445566">
        <w:rPr>
          <w:rFonts w:ascii="Walisongo" w:hAnsi="Walisongo"/>
        </w:rPr>
        <w:t>Result</w:t>
      </w:r>
    </w:p>
    <w:p w:rsidR="0084423D" w:rsidRPr="00445566" w:rsidRDefault="0084423D" w:rsidP="0084423D">
      <w:pPr>
        <w:pStyle w:val="ISI"/>
        <w:rPr>
          <w:rFonts w:ascii="Walisongo" w:hAnsi="Walisongo"/>
        </w:rPr>
      </w:pPr>
      <w:r w:rsidRPr="00445566">
        <w:rPr>
          <w:rFonts w:ascii="Walisongo" w:hAnsi="Walisongo"/>
        </w:rPr>
        <w:t>Consists of subthemes of the article expressing results of the study.</w:t>
      </w:r>
    </w:p>
    <w:p w:rsidR="0084423D" w:rsidRPr="00445566" w:rsidRDefault="0084423D" w:rsidP="00184D6F">
      <w:pPr>
        <w:pStyle w:val="JUDULSUB"/>
        <w:spacing w:after="0"/>
        <w:rPr>
          <w:rFonts w:ascii="Walisongo" w:hAnsi="Walisongo"/>
        </w:rPr>
      </w:pPr>
      <w:r w:rsidRPr="00445566">
        <w:rPr>
          <w:rFonts w:ascii="Walisongo" w:hAnsi="Walisongo"/>
        </w:rPr>
        <w:t>Discussion</w:t>
      </w:r>
    </w:p>
    <w:p w:rsidR="0084423D" w:rsidRPr="00445566" w:rsidRDefault="0084423D" w:rsidP="0084423D">
      <w:pPr>
        <w:pStyle w:val="ISI"/>
        <w:rPr>
          <w:rFonts w:ascii="Walisongo" w:hAnsi="Walisongo"/>
        </w:rPr>
      </w:pPr>
      <w:r w:rsidRPr="00445566">
        <w:rPr>
          <w:rFonts w:ascii="Walisongo" w:hAnsi="Walisongo"/>
        </w:rPr>
        <w:t>Consists of analysis of the study.</w:t>
      </w:r>
    </w:p>
    <w:p w:rsidR="00CD3B70" w:rsidRPr="00445566" w:rsidRDefault="0084423D" w:rsidP="00184D6F">
      <w:pPr>
        <w:pStyle w:val="JUDULSUB"/>
        <w:spacing w:after="0"/>
        <w:rPr>
          <w:rFonts w:ascii="Walisongo" w:hAnsi="Walisongo"/>
        </w:rPr>
      </w:pPr>
      <w:r w:rsidRPr="00445566">
        <w:rPr>
          <w:rFonts w:ascii="Walisongo" w:hAnsi="Walisongo"/>
        </w:rPr>
        <w:t>Conclusion</w:t>
      </w:r>
      <w:r w:rsidR="00CD3B70" w:rsidRPr="00445566">
        <w:rPr>
          <w:rFonts w:ascii="Walisongo" w:hAnsi="Walisongo"/>
        </w:rPr>
        <w:t xml:space="preserve"> </w:t>
      </w:r>
    </w:p>
    <w:p w:rsidR="00CD3B70" w:rsidRPr="00445566" w:rsidRDefault="0084423D" w:rsidP="002D693E">
      <w:pPr>
        <w:pStyle w:val="ISI"/>
        <w:rPr>
          <w:rFonts w:ascii="Walisongo" w:hAnsi="Walisongo"/>
        </w:rPr>
      </w:pPr>
      <w:r w:rsidRPr="00445566">
        <w:rPr>
          <w:rFonts w:ascii="Walisongo" w:hAnsi="Walisongo"/>
        </w:rPr>
        <w:t xml:space="preserve">Some points concluded from the subject </w:t>
      </w:r>
      <w:r w:rsidR="002D693E" w:rsidRPr="00445566">
        <w:rPr>
          <w:rFonts w:ascii="Walisongo" w:hAnsi="Walisongo"/>
        </w:rPr>
        <w:t xml:space="preserve">discussed </w:t>
      </w:r>
      <w:r w:rsidRPr="00445566">
        <w:rPr>
          <w:rFonts w:ascii="Walisongo" w:hAnsi="Walisongo"/>
        </w:rPr>
        <w:t>in the article</w:t>
      </w:r>
      <w:r w:rsidR="00CD3B70" w:rsidRPr="00445566">
        <w:rPr>
          <w:rFonts w:ascii="Walisongo" w:hAnsi="Walisongo"/>
        </w:rPr>
        <w:t>.</w:t>
      </w:r>
    </w:p>
    <w:p w:rsidR="00E85CB5" w:rsidRPr="00445566" w:rsidRDefault="00E85CB5" w:rsidP="00E85CB5">
      <w:pPr>
        <w:pStyle w:val="JUDULSUB"/>
        <w:spacing w:after="0"/>
        <w:rPr>
          <w:rFonts w:ascii="Walisongo" w:hAnsi="Walisongo"/>
        </w:rPr>
      </w:pPr>
      <w:r w:rsidRPr="00445566">
        <w:rPr>
          <w:rFonts w:ascii="Walisongo" w:hAnsi="Walisongo"/>
        </w:rPr>
        <w:t>Manuscript Preparation</w:t>
      </w:r>
    </w:p>
    <w:p w:rsidR="00E85CB5" w:rsidRPr="00445566" w:rsidRDefault="00E85CB5" w:rsidP="00E85CB5">
      <w:pPr>
        <w:pStyle w:val="JUDULSUB"/>
        <w:spacing w:after="0"/>
        <w:ind w:left="397" w:hanging="397"/>
        <w:rPr>
          <w:rFonts w:ascii="Walisongo" w:hAnsi="Walisongo"/>
          <w:b w:val="0"/>
          <w:bCs/>
          <w:i/>
          <w:iCs/>
        </w:rPr>
      </w:pPr>
      <w:r w:rsidRPr="00445566">
        <w:rPr>
          <w:rFonts w:ascii="Walisongo" w:hAnsi="Walisongo"/>
          <w:b w:val="0"/>
          <w:bCs/>
          <w:i/>
          <w:iCs/>
        </w:rPr>
        <w:t>a.</w:t>
      </w:r>
      <w:r w:rsidRPr="00445566">
        <w:rPr>
          <w:rFonts w:ascii="Walisongo" w:hAnsi="Walisongo"/>
          <w:b w:val="0"/>
          <w:bCs/>
          <w:i/>
          <w:iCs/>
        </w:rPr>
        <w:tab/>
        <w:t xml:space="preserve">Figures </w:t>
      </w:r>
    </w:p>
    <w:p w:rsidR="00E85CB5" w:rsidRPr="00445566" w:rsidRDefault="00E85CB5" w:rsidP="00E85CB5">
      <w:pPr>
        <w:pStyle w:val="ISI"/>
        <w:rPr>
          <w:rFonts w:ascii="Walisongo" w:hAnsi="Walisongo"/>
        </w:rPr>
      </w:pPr>
      <w:r w:rsidRPr="00445566">
        <w:rPr>
          <w:rFonts w:ascii="Walisongo" w:hAnsi="Walisongo"/>
        </w:rPr>
        <w:t xml:space="preserve">Figure should be in grayscale, and if it made in color, it should be readable when it later printed in grayscale. Caption should be numbered in single spaced. A caption should comprise a brief title (not on the figure itself) and a description of the illustration. Keep text in the illustrations themselves to a minimum but explain all symbols and abbreviations used. The lettering on the artwork should be clearly readable and in a proportional measure. Figures should have a brief description in the main body of text. </w:t>
      </w:r>
    </w:p>
    <w:p w:rsidR="00D47820" w:rsidRPr="00445566" w:rsidRDefault="00E85CB5" w:rsidP="00E85CB5">
      <w:pPr>
        <w:pStyle w:val="ISI"/>
        <w:rPr>
          <w:rFonts w:ascii="Walisongo" w:hAnsi="Walisongo"/>
        </w:rPr>
      </w:pPr>
      <w:r w:rsidRPr="00445566">
        <w:rPr>
          <w:rFonts w:ascii="Walisongo" w:hAnsi="Walisongo"/>
        </w:rPr>
        <w:t xml:space="preserve">For layouting purpose, please provide the additional respective high resolution figure (≥300dpi) separately in .tif/.jpg/.jpeg within a particular folder apart from the manuscript. Moreover, kindly avoid mentioning position of figure/table e.g. “figure below” or “table as follow” because the </w:t>
      </w:r>
      <w:r w:rsidRPr="00445566">
        <w:rPr>
          <w:rFonts w:ascii="Walisongo" w:hAnsi="Walisongo"/>
        </w:rPr>
        <w:lastRenderedPageBreak/>
        <w:t>position will be rearranged in layouting process. DO NOT put boxes around your figures to enclose them</w:t>
      </w:r>
    </w:p>
    <w:p w:rsidR="00E64249" w:rsidRPr="00445566" w:rsidRDefault="00E64249" w:rsidP="00E64249">
      <w:pPr>
        <w:pStyle w:val="TABEL-GAMBAR"/>
        <w:rPr>
          <w:rFonts w:ascii="Walisongo" w:hAnsi="Walisongo"/>
        </w:rPr>
      </w:pPr>
      <w:r w:rsidRPr="00445566">
        <w:rPr>
          <w:rFonts w:ascii="Walisongo" w:hAnsi="Walisongo"/>
        </w:rPr>
        <w:t>Figure 1</w:t>
      </w:r>
      <w:r w:rsidRPr="00445566">
        <w:rPr>
          <w:rFonts w:ascii="Walisongo" w:hAnsi="Walisongo"/>
        </w:rPr>
        <w:br/>
        <w:t>Sample</w:t>
      </w:r>
    </w:p>
    <w:p w:rsidR="00D47820" w:rsidRPr="00445566" w:rsidRDefault="00E85CB5" w:rsidP="00E85CB5">
      <w:pPr>
        <w:spacing w:after="152" w:line="259" w:lineRule="auto"/>
        <w:ind w:left="0" w:right="68" w:firstLine="0"/>
        <w:jc w:val="center"/>
        <w:rPr>
          <w:rFonts w:ascii="Walisongo" w:hAnsi="Walisongo"/>
        </w:rPr>
      </w:pPr>
      <w:r w:rsidRPr="00445566">
        <w:rPr>
          <w:rFonts w:ascii="Walisongo" w:hAnsi="Walisongo"/>
          <w:noProof/>
        </w:rPr>
        <w:drawing>
          <wp:inline distT="0" distB="0" distL="0" distR="0">
            <wp:extent cx="3603740" cy="1468020"/>
            <wp:effectExtent l="0" t="0" r="0" b="0"/>
            <wp:docPr id="1" name="Picture 1" descr="http://abacus.bates.edu/~ganderso/biology/resources/writing/Height_freq_plot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acus.bates.edu/~ganderso/biology/resources/writing/Height_freq_plot_gif.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8662"/>
                    <a:stretch/>
                  </pic:blipFill>
                  <pic:spPr bwMode="auto">
                    <a:xfrm>
                      <a:off x="0" y="0"/>
                      <a:ext cx="3616141" cy="1473072"/>
                    </a:xfrm>
                    <a:prstGeom prst="rect">
                      <a:avLst/>
                    </a:prstGeom>
                    <a:noFill/>
                    <a:ln>
                      <a:noFill/>
                    </a:ln>
                    <a:extLst>
                      <a:ext uri="{53640926-AAD7-44D8-BBD7-CCE9431645EC}">
                        <a14:shadowObscured xmlns:a14="http://schemas.microsoft.com/office/drawing/2010/main"/>
                      </a:ext>
                    </a:extLst>
                  </pic:spPr>
                </pic:pic>
              </a:graphicData>
            </a:graphic>
          </wp:inline>
        </w:drawing>
      </w:r>
    </w:p>
    <w:p w:rsidR="007B7FAB" w:rsidRPr="00445566" w:rsidRDefault="007B7FAB" w:rsidP="007B7FAB">
      <w:pPr>
        <w:pStyle w:val="JUDULSUB"/>
        <w:spacing w:after="0"/>
        <w:ind w:left="397" w:hanging="397"/>
        <w:rPr>
          <w:rFonts w:ascii="Walisongo" w:hAnsi="Walisongo"/>
          <w:b w:val="0"/>
          <w:bCs/>
          <w:i/>
          <w:iCs/>
        </w:rPr>
      </w:pPr>
      <w:r w:rsidRPr="00445566">
        <w:rPr>
          <w:rFonts w:ascii="Walisongo" w:hAnsi="Walisongo"/>
          <w:b w:val="0"/>
          <w:bCs/>
          <w:i/>
          <w:iCs/>
        </w:rPr>
        <w:t xml:space="preserve">b. </w:t>
      </w:r>
      <w:r w:rsidRPr="00445566">
        <w:rPr>
          <w:rFonts w:ascii="Walisongo" w:hAnsi="Walisongo"/>
          <w:b w:val="0"/>
          <w:bCs/>
          <w:i/>
          <w:iCs/>
        </w:rPr>
        <w:tab/>
        <w:t>Table</w:t>
      </w:r>
    </w:p>
    <w:p w:rsidR="007B7FAB" w:rsidRPr="00445566" w:rsidRDefault="007B7FAB" w:rsidP="007B7FAB">
      <w:pPr>
        <w:pStyle w:val="ISI"/>
        <w:rPr>
          <w:rFonts w:ascii="Walisongo" w:hAnsi="Walisongo"/>
        </w:rPr>
      </w:pPr>
      <w:r w:rsidRPr="00445566">
        <w:rPr>
          <w:rFonts w:ascii="Walisongo" w:hAnsi="Walisongo"/>
        </w:rPr>
        <w:t>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7B7FAB" w:rsidRPr="00445566" w:rsidRDefault="007B7FAB" w:rsidP="007B7FAB">
      <w:pPr>
        <w:rPr>
          <w:rFonts w:ascii="Walisongo" w:hAnsi="Walisongo"/>
        </w:rPr>
      </w:pPr>
    </w:p>
    <w:p w:rsidR="007B7FAB" w:rsidRPr="00445566" w:rsidRDefault="000B5477" w:rsidP="007B7FAB">
      <w:pPr>
        <w:pStyle w:val="TABEL-GAMBAR"/>
        <w:rPr>
          <w:rFonts w:ascii="Walisongo" w:hAnsi="Walisongo"/>
        </w:rPr>
      </w:pPr>
      <w:r w:rsidRPr="00445566">
        <w:rPr>
          <w:rFonts w:ascii="Walisongo" w:hAnsi="Walisongo"/>
        </w:rPr>
        <w:t>Tabel 1</w:t>
      </w:r>
      <w:r w:rsidRPr="00445566">
        <w:rPr>
          <w:rFonts w:ascii="Walisongo" w:hAnsi="Walisongo"/>
        </w:rPr>
        <w:br/>
      </w:r>
      <w:r w:rsidR="007B7FAB" w:rsidRPr="00445566">
        <w:rPr>
          <w:rFonts w:ascii="Walisongo" w:hAnsi="Walisongo"/>
        </w:rPr>
        <w:t xml:space="preserve">Table </w:t>
      </w:r>
      <w:r w:rsidRPr="00445566">
        <w:rPr>
          <w:rFonts w:ascii="Walisongo" w:hAnsi="Walisongo"/>
        </w:rPr>
        <w:t>caption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008"/>
        <w:gridCol w:w="2531"/>
      </w:tblGrid>
      <w:tr w:rsidR="007B7FAB" w:rsidRPr="00445566" w:rsidTr="007B7FAB">
        <w:trPr>
          <w:jc w:val="center"/>
        </w:trPr>
        <w:tc>
          <w:tcPr>
            <w:tcW w:w="3065" w:type="pct"/>
            <w:tcBorders>
              <w:left w:val="nil"/>
              <w:right w:val="nil"/>
            </w:tcBorders>
            <w:shd w:val="clear" w:color="auto" w:fill="D9D9D9" w:themeFill="background1" w:themeFillShade="D9"/>
            <w:vAlign w:val="center"/>
          </w:tcPr>
          <w:p w:rsidR="007B7FAB" w:rsidRPr="00445566" w:rsidRDefault="007B7FAB" w:rsidP="00E64249">
            <w:pPr>
              <w:spacing w:after="20" w:line="240" w:lineRule="auto"/>
              <w:ind w:left="437" w:right="6" w:firstLine="0"/>
              <w:jc w:val="left"/>
              <w:rPr>
                <w:rFonts w:ascii="Walisongo" w:hAnsi="Walisongo"/>
                <w:b/>
                <w:sz w:val="22"/>
              </w:rPr>
            </w:pPr>
            <w:r w:rsidRPr="00445566">
              <w:rPr>
                <w:rFonts w:ascii="Walisongo" w:hAnsi="Walisongo"/>
                <w:b/>
                <w:sz w:val="22"/>
              </w:rPr>
              <w:t>Fields</w:t>
            </w:r>
          </w:p>
        </w:tc>
        <w:tc>
          <w:tcPr>
            <w:tcW w:w="1935" w:type="pct"/>
            <w:tcBorders>
              <w:left w:val="nil"/>
              <w:right w:val="nil"/>
            </w:tcBorders>
            <w:shd w:val="clear" w:color="auto" w:fill="D9D9D9" w:themeFill="background1" w:themeFillShade="D9"/>
            <w:vAlign w:val="center"/>
          </w:tcPr>
          <w:p w:rsidR="007B7FAB" w:rsidRPr="00445566" w:rsidRDefault="007B7FAB" w:rsidP="00E64249">
            <w:pPr>
              <w:spacing w:after="20" w:line="240" w:lineRule="auto"/>
              <w:ind w:left="437" w:right="6" w:firstLine="0"/>
              <w:jc w:val="left"/>
              <w:rPr>
                <w:rFonts w:ascii="Walisongo" w:hAnsi="Walisongo"/>
                <w:b/>
                <w:sz w:val="22"/>
              </w:rPr>
            </w:pPr>
            <w:r w:rsidRPr="00445566">
              <w:rPr>
                <w:rFonts w:ascii="Walisongo" w:hAnsi="Walisongo"/>
                <w:b/>
                <w:sz w:val="22"/>
              </w:rPr>
              <w:t>Percentage</w:t>
            </w:r>
          </w:p>
        </w:tc>
      </w:tr>
      <w:tr w:rsidR="007B7FAB" w:rsidRPr="00445566" w:rsidTr="007B7FAB">
        <w:trPr>
          <w:jc w:val="center"/>
        </w:trPr>
        <w:tc>
          <w:tcPr>
            <w:tcW w:w="3065" w:type="pct"/>
            <w:tcBorders>
              <w:left w:val="nil"/>
              <w:right w:val="nil"/>
            </w:tcBorders>
            <w:shd w:val="clear" w:color="auto" w:fill="auto"/>
            <w:vAlign w:val="center"/>
          </w:tcPr>
          <w:p w:rsidR="007B7FAB" w:rsidRPr="00445566" w:rsidRDefault="007B7FAB" w:rsidP="00E64249">
            <w:pPr>
              <w:spacing w:after="20" w:line="240" w:lineRule="auto"/>
              <w:ind w:left="437" w:right="6" w:firstLine="0"/>
              <w:jc w:val="left"/>
              <w:rPr>
                <w:rFonts w:ascii="Walisongo" w:hAnsi="Walisongo"/>
                <w:sz w:val="22"/>
                <w:vertAlign w:val="subscript"/>
              </w:rPr>
            </w:pPr>
            <w:r w:rsidRPr="00445566">
              <w:rPr>
                <w:rFonts w:ascii="Walisongo" w:hAnsi="Walisongo"/>
                <w:sz w:val="22"/>
              </w:rPr>
              <w:t>Social</w:t>
            </w:r>
            <w:r w:rsidRPr="00445566">
              <w:rPr>
                <w:rFonts w:ascii="Walisongo" w:hAnsi="Walisongo"/>
                <w:sz w:val="22"/>
                <w:vertAlign w:val="superscript"/>
              </w:rPr>
              <w:t xml:space="preserve"> a</w:t>
            </w:r>
          </w:p>
        </w:tc>
        <w:tc>
          <w:tcPr>
            <w:tcW w:w="1935" w:type="pct"/>
            <w:tcBorders>
              <w:left w:val="nil"/>
              <w:right w:val="nil"/>
            </w:tcBorders>
            <w:shd w:val="clear" w:color="auto" w:fill="auto"/>
            <w:vAlign w:val="center"/>
          </w:tcPr>
          <w:p w:rsidR="007B7FAB" w:rsidRPr="00445566" w:rsidRDefault="007B7FAB" w:rsidP="00E64249">
            <w:pPr>
              <w:spacing w:after="20" w:line="240" w:lineRule="auto"/>
              <w:ind w:left="437" w:right="6" w:firstLine="0"/>
              <w:jc w:val="left"/>
              <w:rPr>
                <w:rFonts w:ascii="Walisongo" w:hAnsi="Walisongo"/>
                <w:sz w:val="22"/>
              </w:rPr>
            </w:pPr>
            <w:r w:rsidRPr="00445566">
              <w:rPr>
                <w:rFonts w:ascii="Walisongo" w:hAnsi="Walisongo"/>
                <w:sz w:val="22"/>
              </w:rPr>
              <w:t>35 %</w:t>
            </w:r>
          </w:p>
        </w:tc>
      </w:tr>
      <w:tr w:rsidR="007B7FAB" w:rsidRPr="00445566" w:rsidTr="007B7FAB">
        <w:trPr>
          <w:jc w:val="center"/>
        </w:trPr>
        <w:tc>
          <w:tcPr>
            <w:tcW w:w="3065" w:type="pct"/>
            <w:tcBorders>
              <w:left w:val="nil"/>
              <w:right w:val="nil"/>
            </w:tcBorders>
            <w:shd w:val="clear" w:color="auto" w:fill="auto"/>
            <w:vAlign w:val="center"/>
          </w:tcPr>
          <w:p w:rsidR="007B7FAB" w:rsidRPr="00445566" w:rsidRDefault="007B7FAB" w:rsidP="00E64249">
            <w:pPr>
              <w:spacing w:after="20" w:line="240" w:lineRule="auto"/>
              <w:ind w:left="437" w:right="6" w:firstLine="0"/>
              <w:jc w:val="left"/>
              <w:rPr>
                <w:rFonts w:ascii="Walisongo" w:hAnsi="Walisongo"/>
                <w:sz w:val="22"/>
                <w:vertAlign w:val="subscript"/>
              </w:rPr>
            </w:pPr>
            <w:r w:rsidRPr="00445566">
              <w:rPr>
                <w:rFonts w:ascii="Walisongo" w:hAnsi="Walisongo"/>
                <w:sz w:val="22"/>
              </w:rPr>
              <w:t>Economy</w:t>
            </w:r>
          </w:p>
        </w:tc>
        <w:tc>
          <w:tcPr>
            <w:tcW w:w="1935" w:type="pct"/>
            <w:tcBorders>
              <w:left w:val="nil"/>
              <w:right w:val="nil"/>
            </w:tcBorders>
            <w:shd w:val="clear" w:color="auto" w:fill="auto"/>
            <w:vAlign w:val="center"/>
          </w:tcPr>
          <w:p w:rsidR="007B7FAB" w:rsidRPr="00445566" w:rsidRDefault="007B7FAB" w:rsidP="00E64249">
            <w:pPr>
              <w:autoSpaceDE w:val="0"/>
              <w:autoSpaceDN w:val="0"/>
              <w:adjustRightInd w:val="0"/>
              <w:spacing w:after="20" w:line="240" w:lineRule="auto"/>
              <w:ind w:left="437" w:right="6" w:firstLine="0"/>
              <w:jc w:val="left"/>
              <w:rPr>
                <w:rFonts w:ascii="Walisongo" w:hAnsi="Walisongo"/>
                <w:sz w:val="22"/>
              </w:rPr>
            </w:pPr>
            <w:r w:rsidRPr="00445566">
              <w:rPr>
                <w:rFonts w:ascii="Walisongo" w:hAnsi="Walisongo"/>
                <w:sz w:val="22"/>
              </w:rPr>
              <w:t>35 %</w:t>
            </w:r>
          </w:p>
        </w:tc>
      </w:tr>
      <w:tr w:rsidR="007B7FAB" w:rsidRPr="00445566" w:rsidTr="007B7FAB">
        <w:trPr>
          <w:jc w:val="center"/>
        </w:trPr>
        <w:tc>
          <w:tcPr>
            <w:tcW w:w="3065" w:type="pct"/>
            <w:tcBorders>
              <w:left w:val="nil"/>
              <w:right w:val="nil"/>
            </w:tcBorders>
            <w:shd w:val="clear" w:color="auto" w:fill="auto"/>
            <w:vAlign w:val="center"/>
          </w:tcPr>
          <w:p w:rsidR="007B7FAB" w:rsidRPr="00445566" w:rsidRDefault="007B7FAB" w:rsidP="00E64249">
            <w:pPr>
              <w:spacing w:after="20" w:line="240" w:lineRule="auto"/>
              <w:ind w:left="437" w:right="6" w:firstLine="0"/>
              <w:jc w:val="left"/>
              <w:rPr>
                <w:rFonts w:ascii="Walisongo" w:hAnsi="Walisongo"/>
                <w:sz w:val="22"/>
                <w:vertAlign w:val="subscript"/>
              </w:rPr>
            </w:pPr>
            <w:r w:rsidRPr="00445566">
              <w:rPr>
                <w:rFonts w:ascii="Walisongo" w:hAnsi="Walisongo"/>
                <w:sz w:val="22"/>
              </w:rPr>
              <w:t>Politic</w:t>
            </w:r>
          </w:p>
        </w:tc>
        <w:tc>
          <w:tcPr>
            <w:tcW w:w="1935" w:type="pct"/>
            <w:tcBorders>
              <w:left w:val="nil"/>
              <w:right w:val="nil"/>
            </w:tcBorders>
            <w:shd w:val="clear" w:color="auto" w:fill="auto"/>
            <w:vAlign w:val="center"/>
          </w:tcPr>
          <w:p w:rsidR="007B7FAB" w:rsidRPr="00445566" w:rsidRDefault="007B7FAB" w:rsidP="00E64249">
            <w:pPr>
              <w:spacing w:after="20" w:line="240" w:lineRule="auto"/>
              <w:ind w:left="437" w:right="6" w:firstLine="0"/>
              <w:jc w:val="left"/>
              <w:rPr>
                <w:rFonts w:ascii="Walisongo" w:hAnsi="Walisongo"/>
                <w:sz w:val="22"/>
              </w:rPr>
            </w:pPr>
            <w:r w:rsidRPr="00445566">
              <w:rPr>
                <w:rFonts w:ascii="Walisongo" w:hAnsi="Walisongo"/>
                <w:sz w:val="22"/>
              </w:rPr>
              <w:t>30 %</w:t>
            </w:r>
            <w:r w:rsidRPr="00445566">
              <w:rPr>
                <w:rFonts w:ascii="Walisongo" w:hAnsi="Walisongo"/>
                <w:sz w:val="22"/>
                <w:vertAlign w:val="superscript"/>
              </w:rPr>
              <w:t>b</w:t>
            </w:r>
          </w:p>
        </w:tc>
      </w:tr>
    </w:tbl>
    <w:p w:rsidR="007B7FAB" w:rsidRPr="00445566" w:rsidRDefault="007B7FAB" w:rsidP="007B7FAB">
      <w:pPr>
        <w:spacing w:before="120" w:after="120"/>
        <w:ind w:firstLine="0"/>
        <w:rPr>
          <w:rFonts w:ascii="Walisongo" w:eastAsia="Times New Roman" w:hAnsi="Walisongo"/>
          <w:i/>
          <w:iCs/>
          <w:sz w:val="20"/>
        </w:rPr>
      </w:pPr>
      <w:r w:rsidRPr="00445566">
        <w:rPr>
          <w:rFonts w:ascii="Walisongo" w:hAnsi="Walisongo"/>
          <w:i/>
          <w:iCs/>
          <w:sz w:val="18"/>
          <w:vertAlign w:val="superscript"/>
        </w:rPr>
        <w:t>a</w:t>
      </w:r>
      <w:r w:rsidRPr="00445566">
        <w:rPr>
          <w:rFonts w:ascii="Walisongo" w:hAnsi="Walisongo"/>
          <w:i/>
          <w:iCs/>
          <w:sz w:val="18"/>
        </w:rPr>
        <w:t>footnote</w:t>
      </w:r>
      <w:r w:rsidRPr="00445566">
        <w:rPr>
          <w:rFonts w:ascii="Walisongo" w:hAnsi="Walisongo"/>
          <w:i/>
          <w:iCs/>
          <w:sz w:val="18"/>
          <w:vertAlign w:val="superscript"/>
        </w:rPr>
        <w:t xml:space="preserve"> b</w:t>
      </w:r>
      <w:r w:rsidRPr="00445566">
        <w:rPr>
          <w:rFonts w:ascii="Walisongo" w:hAnsi="Walisongo"/>
          <w:i/>
          <w:iCs/>
          <w:sz w:val="18"/>
        </w:rPr>
        <w:t>footnote</w:t>
      </w:r>
    </w:p>
    <w:p w:rsidR="002A577F" w:rsidRPr="00445566" w:rsidRDefault="002A577F" w:rsidP="00F15271">
      <w:pPr>
        <w:pStyle w:val="JUDULSUB"/>
        <w:spacing w:after="0"/>
        <w:ind w:left="397" w:hanging="397"/>
        <w:rPr>
          <w:rFonts w:ascii="Walisongo" w:hAnsi="Walisongo"/>
          <w:b w:val="0"/>
          <w:bCs/>
          <w:i/>
          <w:iCs/>
        </w:rPr>
      </w:pPr>
    </w:p>
    <w:p w:rsidR="00F15271" w:rsidRPr="00445566" w:rsidRDefault="00F15271" w:rsidP="00F15271">
      <w:pPr>
        <w:pStyle w:val="JUDULSUB"/>
        <w:spacing w:after="0"/>
        <w:ind w:left="397" w:hanging="397"/>
        <w:rPr>
          <w:rFonts w:ascii="Walisongo" w:hAnsi="Walisongo"/>
          <w:b w:val="0"/>
          <w:bCs/>
          <w:i/>
          <w:iCs/>
        </w:rPr>
      </w:pPr>
      <w:r w:rsidRPr="00445566">
        <w:rPr>
          <w:rFonts w:ascii="Walisongo" w:hAnsi="Walisongo"/>
          <w:b w:val="0"/>
          <w:bCs/>
          <w:i/>
          <w:iCs/>
        </w:rPr>
        <w:t xml:space="preserve">c. </w:t>
      </w:r>
      <w:r w:rsidRPr="00445566">
        <w:rPr>
          <w:rFonts w:ascii="Walisongo" w:hAnsi="Walisongo"/>
          <w:b w:val="0"/>
          <w:bCs/>
          <w:i/>
          <w:iCs/>
        </w:rPr>
        <w:tab/>
        <w:t>Quotation</w:t>
      </w:r>
    </w:p>
    <w:p w:rsidR="00F15271" w:rsidRPr="00445566" w:rsidRDefault="00F15271" w:rsidP="00F15271">
      <w:pPr>
        <w:pStyle w:val="ISI"/>
        <w:rPr>
          <w:rFonts w:ascii="Walisongo" w:hAnsi="Walisongo"/>
        </w:rPr>
      </w:pPr>
      <w:r w:rsidRPr="00445566">
        <w:rPr>
          <w:rFonts w:ascii="Walisongo" w:hAnsi="Walisongo"/>
        </w:rPr>
        <w:t xml:space="preserve">For quotations that are more than four lines, place quotations in a free-standing block of text and omit quotation marks. Start the quotation on a new line, with the entire quote </w:t>
      </w:r>
      <w:r w:rsidRPr="00445566">
        <w:rPr>
          <w:rFonts w:ascii="Walisongo" w:hAnsi="Walisongo"/>
        </w:rPr>
        <w:lastRenderedPageBreak/>
        <w:t xml:space="preserve">indented from the left margin. Only indent the first line of the quotation by an additional quarter inch if you are citing multiple paragraphs. Your parenthetical citation should come after the closing punctuation mark. </w:t>
      </w:r>
    </w:p>
    <w:p w:rsidR="00F15271" w:rsidRPr="00445566" w:rsidRDefault="00F15271" w:rsidP="00F15271">
      <w:pPr>
        <w:pStyle w:val="ISI"/>
        <w:rPr>
          <w:rFonts w:ascii="Walisongo" w:hAnsi="Walisongo"/>
        </w:rPr>
      </w:pPr>
      <w:r w:rsidRPr="00445566">
        <w:rPr>
          <w:rFonts w:ascii="Walisongo" w:hAnsi="Walisongo"/>
        </w:rPr>
        <w:t>For example, when citing more than four lines of prose, use the following examples:</w:t>
      </w:r>
    </w:p>
    <w:p w:rsidR="002D693E" w:rsidRPr="00445566" w:rsidRDefault="002D693E" w:rsidP="00E04A28">
      <w:pPr>
        <w:pStyle w:val="TERJEMAH"/>
        <w:rPr>
          <w:rFonts w:ascii="Walisongo" w:hAnsi="Walisongo"/>
        </w:rPr>
      </w:pPr>
      <w:r w:rsidRPr="00445566">
        <w:rPr>
          <w:rFonts w:ascii="Walisongo" w:hAnsi="Walisongo"/>
          <w:i w:val="0"/>
          <w:iCs/>
        </w:rPr>
        <w:t>Lorem ipsum dolor sit amet, consectetur adipiscing elit. Qui non moveatur et offensione turpitudinis et comprobatione honestatis? Ita prorsus, inquam; Respondeat totidem verbis. A quibus propter discendi cupiditatem videmus ultimas terras esse peragratas. Eadem nunc mea adversum te oratio est. Duo Reges: constructio interrete. Progredientibus autem aetatibus sensim tardeve potius quasi nosmet ipsos cognoscimus.</w:t>
      </w:r>
      <w:r w:rsidR="00F15271" w:rsidRPr="00445566">
        <w:rPr>
          <w:rFonts w:ascii="Walisongo" w:hAnsi="Walisongo"/>
          <w:i w:val="0"/>
          <w:iCs/>
        </w:rPr>
        <w:t xml:space="preserve"> </w:t>
      </w:r>
      <w:r w:rsidR="0059324B" w:rsidRPr="00445566">
        <w:rPr>
          <w:rFonts w:ascii="Walisongo" w:hAnsi="Walisongo"/>
        </w:rPr>
        <w:fldChar w:fldCharType="begin" w:fldLock="1"/>
      </w:r>
      <w:r w:rsidR="000338C2" w:rsidRPr="00445566">
        <w:rPr>
          <w:rFonts w:ascii="Walisongo" w:hAnsi="Walisongo"/>
        </w:rPr>
        <w:instrText>ADDIN CSL_CITATION { "citationItems" : [ { "id" : "ITEM-1", "itemData" : { "DOI" : "10.7551/mitpress/9780262034241.001.0001", "ISBN" : "9780262034241", "abstract" : "We are born crying, but those cries signal the first stirring of language. Within a year or so, infants master the sound system of their language; a few years after that, they are engaging in conversations. This remarkable, species-specific ability to acquire any human language\u2014\u201cthe language faculty\u201d\u2014raises important biological questions about language, including how it has evolved. This book by two distinguished scholars\u2014a computer scientist and a linguist\u2014addresses the enduring question of the evolution of language. Robert Berwick and Noam Chomsky explain that until recently the evolutionary question could not be properly posed, because we did not have a clear idea of how to define \u201clanguage\u201d and therefore what it was that had evolved. But since the Minimalist Program, developed by Chomsky and others, we know the key ingredients of language and can put together an account of the evolution of human language and what distinguishes us from all other animals. Berwick and Chomsky discuss the biolinguistic perspective on language, which views language as a particular object of the biological world; the computational efficiency of language as a system of thought and understanding; the tension between Darwin\u2019s idea of gradual change and our contemporary understanding about evolutionary change and language; and evidence from nonhuman animals, in particular vocal learning in songbirds.", "author" : [ { "dropping-particle" : "", "family" : "Berwick", "given" : "Robert C.", "non-dropping-particle" : "", "parse-names" : false, "suffix" : "" }, { "dropping-particle" : "", "family" : "Chomsky", "given" : "Noam", "non-dropping-particle" : "", "parse-names" : false, "suffix" : "" } ], "id" : "ITEM-1", "issued" : { "date-parts" : [ [ "2016" ] ] }, "publisher" : "The MIT Press", "publisher-place" : "Cambridge", "title" : "Why Only Us: Language and Evolution", "type" : "book" }, "locator" : "35", "uris" : [ "http://www.mendeley.com/documents/?uuid=e8d56543-4ece-4fc3-b6bc-091123624246" ] } ], "mendeley" : { "formattedCitation" : "(Berwick and Chomsky 2016, 35)", "plainTextFormattedCitation" : "(Berwick and Chomsky 2016, 35)", "previouslyFormattedCitation" : "(Berwick and Chomsky 35)" }, "properties" : { "noteIndex" : 0 }, "schema" : "https://github.com/citation-style-language/schema/raw/master/csl-citation.json" }</w:instrText>
      </w:r>
      <w:r w:rsidR="0059324B" w:rsidRPr="00445566">
        <w:rPr>
          <w:rFonts w:ascii="Walisongo" w:hAnsi="Walisongo"/>
        </w:rPr>
        <w:fldChar w:fldCharType="separate"/>
      </w:r>
      <w:r w:rsidR="000338C2" w:rsidRPr="00445566">
        <w:rPr>
          <w:rFonts w:ascii="Walisongo" w:hAnsi="Walisongo"/>
          <w:i w:val="0"/>
          <w:noProof/>
        </w:rPr>
        <w:t>(Berwick and Chomsky 2016, 35)</w:t>
      </w:r>
      <w:r w:rsidR="0059324B" w:rsidRPr="00445566">
        <w:rPr>
          <w:rFonts w:ascii="Walisongo" w:hAnsi="Walisongo"/>
        </w:rPr>
        <w:fldChar w:fldCharType="end"/>
      </w:r>
    </w:p>
    <w:p w:rsidR="00F15271" w:rsidRPr="00445566" w:rsidRDefault="00F15271" w:rsidP="0059324B">
      <w:pPr>
        <w:pStyle w:val="ISI"/>
        <w:rPr>
          <w:rFonts w:ascii="Walisongo" w:hAnsi="Walisongo"/>
        </w:rPr>
      </w:pPr>
    </w:p>
    <w:p w:rsidR="00F15271" w:rsidRPr="00445566" w:rsidRDefault="00F15271" w:rsidP="00146ACD">
      <w:pPr>
        <w:pStyle w:val="ISI"/>
        <w:rPr>
          <w:rFonts w:ascii="Walisongo" w:hAnsi="Walisongo"/>
        </w:rPr>
      </w:pPr>
      <w:r w:rsidRPr="00445566">
        <w:rPr>
          <w:rFonts w:ascii="Walisongo" w:hAnsi="Walisongo"/>
        </w:rPr>
        <w:t>When citing two or more paragraphs, use block quotation format, even if the passage from the paragraphs is less than four lines. Indent the first line of each quoted paragraph an extra quarter inch.</w:t>
      </w:r>
      <w:r w:rsidR="00146ACD" w:rsidRPr="00445566">
        <w:rPr>
          <w:rFonts w:ascii="Walisongo" w:hAnsi="Walisongo"/>
        </w:rPr>
        <w:t xml:space="preserve"> </w:t>
      </w:r>
    </w:p>
    <w:p w:rsidR="00F15271" w:rsidRPr="00445566" w:rsidRDefault="00F15271" w:rsidP="00F15271">
      <w:pPr>
        <w:pStyle w:val="TERJEMAH"/>
        <w:ind w:firstLine="323"/>
        <w:rPr>
          <w:rFonts w:ascii="Walisongo" w:hAnsi="Walisongo"/>
          <w:i w:val="0"/>
          <w:iCs/>
        </w:rPr>
      </w:pPr>
      <w:r w:rsidRPr="00445566">
        <w:rPr>
          <w:rFonts w:ascii="Walisongo" w:hAnsi="Walisongo"/>
          <w:i w:val="0"/>
          <w:iCs/>
        </w:rPr>
        <w:t>Quid affers, cur Thorius, cur Caius Postumius, cur omnium horum magister, Orata, non iucundissime vixerit? Qui-vere falsone, quaerere mittimus-dicitur oculis se privasse; Suo genere perveniant ad extremum; Laelius clamores sofòw ille so lebat Edere compellans gumias ex ordine nostros. Ne in odium veniam, si amicum destitero tueri. Quo plebiscito decreta a senatu est consuli quaestio Cn.</w:t>
      </w:r>
    </w:p>
    <w:p w:rsidR="002D693E" w:rsidRPr="00445566" w:rsidRDefault="00F15271" w:rsidP="00E04A28">
      <w:pPr>
        <w:pStyle w:val="TERJEMAH"/>
        <w:ind w:firstLine="323"/>
        <w:rPr>
          <w:rFonts w:ascii="Walisongo" w:hAnsi="Walisongo"/>
          <w:i w:val="0"/>
          <w:iCs/>
        </w:rPr>
      </w:pPr>
      <w:r w:rsidRPr="00445566">
        <w:rPr>
          <w:rFonts w:ascii="Walisongo" w:hAnsi="Walisongo"/>
          <w:i w:val="0"/>
          <w:iCs/>
        </w:rPr>
        <w:t xml:space="preserve">Non modo carum sibi quemque, verum etiam vehementer carum esse? Sed virtutem ipsam inchoavit, nihil amplius. Sed quid attinet de rebus tam apertis plura requirere? Fieri, inquam, Triari, nullo pacto potest, ut non dicas, quid non probes eius, a quo dissentias. Hoc dixerit potius Ennius: Nimium boni est, cui nihil est mali. Quia, si mala sunt, is, qui erit in iis, beatus non erit. </w:t>
      </w:r>
      <w:r w:rsidRPr="00445566">
        <w:rPr>
          <w:rFonts w:ascii="Walisongo" w:hAnsi="Walisongo"/>
          <w:i w:val="0"/>
          <w:iCs/>
        </w:rPr>
        <w:lastRenderedPageBreak/>
        <w:t xml:space="preserve">Omnes enim iucundum motum, quo sensus hilaretur. Nam Pyrrho, Aristo, Erillus iam diu abiecti. </w:t>
      </w:r>
      <w:r w:rsidR="00484286" w:rsidRPr="00445566">
        <w:rPr>
          <w:rFonts w:ascii="Walisongo" w:hAnsi="Walisongo"/>
          <w:i w:val="0"/>
          <w:iCs/>
        </w:rPr>
        <w:fldChar w:fldCharType="begin" w:fldLock="1"/>
      </w:r>
      <w:r w:rsidR="000338C2" w:rsidRPr="00445566">
        <w:rPr>
          <w:rFonts w:ascii="Walisongo" w:hAnsi="Walisongo"/>
          <w:i w:val="0"/>
          <w:iCs/>
        </w:rPr>
        <w:instrText>ADDIN CSL_CITATION { "citationItems" : [ { "id" : "ITEM-1", "itemData" : { "DOI" : "10.1093/jis/etw027", "ISSN" : "0955-2340", "author" : [ { "dropping-particle" : "", "family" : "El-Wakil", "given" : "Ahmed", "non-dropping-particle" : "", "parse-names" : false, "suffix" : "" } ], "container-title" : "Journal of Islamic Studies", "id" : "ITEM-1", "issue" : "3", "issued" : { "date-parts" : [ [ "2016" ] ] }, "page" : "273-354", "title" : "The Prophet\u2019s Treaty with the Christians of Najran: An Analytical Study to Determine the Authenticity of the Covenants", "type" : "article-journal", "volume" : "27" }, "locator" : "275", "uris" : [ "http://www.mendeley.com/documents/?uuid=1aa87294-e078-46b4-94de-0dc09d16deba" ] } ], "mendeley" : { "formattedCitation" : "(El-Wakil 2016, 275)", "plainTextFormattedCitation" : "(El-Wakil 2016, 275)", "previouslyFormattedCitation" : "(El-Wakil 275)" }, "properties" : { "noteIndex" : 0 }, "schema" : "https://github.com/citation-style-language/schema/raw/master/csl-citation.json" }</w:instrText>
      </w:r>
      <w:r w:rsidR="00484286" w:rsidRPr="00445566">
        <w:rPr>
          <w:rFonts w:ascii="Walisongo" w:hAnsi="Walisongo"/>
          <w:i w:val="0"/>
          <w:iCs/>
        </w:rPr>
        <w:fldChar w:fldCharType="separate"/>
      </w:r>
      <w:r w:rsidR="000338C2" w:rsidRPr="00445566">
        <w:rPr>
          <w:rFonts w:ascii="Walisongo" w:hAnsi="Walisongo"/>
          <w:i w:val="0"/>
          <w:iCs/>
          <w:noProof/>
        </w:rPr>
        <w:t>(El-Wakil 2016, 275)</w:t>
      </w:r>
      <w:r w:rsidR="00484286" w:rsidRPr="00445566">
        <w:rPr>
          <w:rFonts w:ascii="Walisongo" w:hAnsi="Walisongo"/>
          <w:i w:val="0"/>
          <w:iCs/>
        </w:rPr>
        <w:fldChar w:fldCharType="end"/>
      </w:r>
    </w:p>
    <w:p w:rsidR="00F15271" w:rsidRPr="00445566" w:rsidRDefault="00F15271" w:rsidP="00CD57EC">
      <w:pPr>
        <w:pStyle w:val="JUDULSUB"/>
        <w:spacing w:after="0"/>
        <w:ind w:left="397" w:hanging="397"/>
        <w:rPr>
          <w:rFonts w:ascii="Walisongo" w:hAnsi="Walisongo"/>
          <w:b w:val="0"/>
          <w:bCs/>
          <w:i/>
          <w:iCs/>
        </w:rPr>
      </w:pPr>
      <w:r w:rsidRPr="00445566">
        <w:rPr>
          <w:rFonts w:ascii="Walisongo" w:hAnsi="Walisongo"/>
          <w:b w:val="0"/>
          <w:bCs/>
          <w:i/>
          <w:iCs/>
        </w:rPr>
        <w:t xml:space="preserve">d. </w:t>
      </w:r>
      <w:r w:rsidRPr="00445566">
        <w:rPr>
          <w:rFonts w:ascii="Walisongo" w:hAnsi="Walisongo"/>
          <w:b w:val="0"/>
          <w:bCs/>
          <w:i/>
          <w:iCs/>
        </w:rPr>
        <w:tab/>
        <w:t xml:space="preserve">Construction of </w:t>
      </w:r>
      <w:r w:rsidR="00CD57EC" w:rsidRPr="00445566">
        <w:rPr>
          <w:rFonts w:ascii="Walisongo" w:hAnsi="Walisongo"/>
          <w:b w:val="0"/>
          <w:bCs/>
          <w:i/>
          <w:iCs/>
        </w:rPr>
        <w:t>Bibliography</w:t>
      </w:r>
    </w:p>
    <w:p w:rsidR="00B20609" w:rsidRPr="00445566" w:rsidRDefault="00146ACD" w:rsidP="00B20609">
      <w:pPr>
        <w:pStyle w:val="ISI"/>
        <w:rPr>
          <w:rFonts w:ascii="Walisongo" w:hAnsi="Walisongo"/>
        </w:rPr>
      </w:pPr>
      <w:r w:rsidRPr="00445566">
        <w:rPr>
          <w:rFonts w:ascii="Walisongo" w:hAnsi="Walisongo"/>
        </w:rPr>
        <w:t xml:space="preserve">Authors should ensure that every reference in the text appears in the list of references and vice versa. Wikipedia, personal blog, or non scientific website is not allowed to be taken into account. </w:t>
      </w:r>
    </w:p>
    <w:p w:rsidR="00CD57EC" w:rsidRPr="00445566" w:rsidRDefault="00CD57EC" w:rsidP="00604D6D">
      <w:pPr>
        <w:pStyle w:val="ISI"/>
        <w:rPr>
          <w:rFonts w:ascii="Walisongo" w:hAnsi="Walisongo"/>
        </w:rPr>
      </w:pPr>
      <w:r w:rsidRPr="00445566">
        <w:rPr>
          <w:rFonts w:ascii="Walisongo" w:hAnsi="Walisongo"/>
        </w:rPr>
        <w:t>All citations must be in the parenthetical/in-text citations, NOT in the footnote. Citations and bibliographical style must be set automatically using Reference Manager (e.g. Mendeley, EndNote, Zotero) in Turabian citation style</w:t>
      </w:r>
      <w:r w:rsidR="00604D6D" w:rsidRPr="00445566">
        <w:rPr>
          <w:rFonts w:ascii="Walisongo" w:hAnsi="Walisongo"/>
        </w:rPr>
        <w:t xml:space="preserve">  (author-date).</w:t>
      </w:r>
      <w:r w:rsidRPr="00445566">
        <w:rPr>
          <w:rFonts w:ascii="Walisongo" w:hAnsi="Walisongo"/>
        </w:rPr>
        <w:t xml:space="preserve"> Any notes may appear in footnote.</w:t>
      </w:r>
    </w:p>
    <w:p w:rsidR="00726F8D" w:rsidRPr="00445566" w:rsidRDefault="00726F8D" w:rsidP="005569B5">
      <w:pPr>
        <w:pStyle w:val="ISI"/>
        <w:rPr>
          <w:rFonts w:ascii="Walisongo" w:hAnsi="Walisongo"/>
        </w:rPr>
      </w:pPr>
      <w:r w:rsidRPr="00445566">
        <w:rPr>
          <w:rFonts w:ascii="Walisongo" w:hAnsi="Walisongo"/>
        </w:rPr>
        <w:t>There are several types of references</w:t>
      </w:r>
      <w:r w:rsidR="005569B5" w:rsidRPr="00445566">
        <w:rPr>
          <w:rFonts w:ascii="Walisongo" w:hAnsi="Walisongo"/>
        </w:rPr>
        <w:t xml:space="preserve">. </w:t>
      </w:r>
      <w:r w:rsidRPr="00445566">
        <w:rPr>
          <w:rFonts w:ascii="Walisongo" w:hAnsi="Walisongo"/>
        </w:rPr>
        <w:t>Sample of correct formats for various types of references are as follows</w:t>
      </w:r>
      <w:r w:rsidR="005569B5" w:rsidRPr="00445566">
        <w:rPr>
          <w:rFonts w:ascii="Walisongo" w:hAnsi="Walisongo"/>
        </w:rPr>
        <w:t>:</w:t>
      </w:r>
    </w:p>
    <w:p w:rsidR="000338C2" w:rsidRPr="00445566" w:rsidRDefault="000338C2" w:rsidP="0021577D">
      <w:pPr>
        <w:pStyle w:val="ISI"/>
        <w:ind w:left="284" w:firstLine="0"/>
        <w:rPr>
          <w:rFonts w:ascii="Walisongo" w:hAnsi="Walisongo"/>
          <w:sz w:val="8"/>
          <w:szCs w:val="8"/>
        </w:rPr>
      </w:pPr>
    </w:p>
    <w:p w:rsidR="005569B5" w:rsidRPr="00445566" w:rsidRDefault="005569B5" w:rsidP="000338C2">
      <w:pPr>
        <w:pStyle w:val="ISI"/>
        <w:ind w:left="284" w:hanging="284"/>
        <w:rPr>
          <w:rFonts w:ascii="Walisongo" w:hAnsi="Walisongo"/>
        </w:rPr>
      </w:pPr>
      <w:r w:rsidRPr="00445566">
        <w:rPr>
          <w:rFonts w:ascii="Walisongo" w:hAnsi="Walisongo"/>
        </w:rPr>
        <w:t>•</w:t>
      </w:r>
      <w:r w:rsidRPr="00445566">
        <w:rPr>
          <w:rFonts w:ascii="Walisongo" w:hAnsi="Walisongo"/>
        </w:rPr>
        <w:tab/>
      </w:r>
      <w:r w:rsidR="0065660C" w:rsidRPr="00445566">
        <w:rPr>
          <w:rFonts w:ascii="Walisongo" w:hAnsi="Walisongo"/>
        </w:rPr>
        <w:t>Book</w:t>
      </w:r>
    </w:p>
    <w:p w:rsidR="000338C2" w:rsidRPr="00445566" w:rsidRDefault="000338C2" w:rsidP="000338C2">
      <w:pPr>
        <w:pStyle w:val="ISI"/>
        <w:ind w:left="284" w:firstLine="0"/>
        <w:rPr>
          <w:rFonts w:ascii="Walisongo" w:hAnsi="Walisongo"/>
          <w:i/>
          <w:iCs/>
        </w:rPr>
      </w:pPr>
      <w:r w:rsidRPr="00445566">
        <w:rPr>
          <w:rFonts w:ascii="Walisongo" w:hAnsi="Walisongo"/>
          <w:i/>
          <w:iCs/>
        </w:rPr>
        <w:t>One author</w:t>
      </w:r>
      <w:r w:rsidR="0065660C" w:rsidRPr="00445566">
        <w:rPr>
          <w:rFonts w:ascii="Walisongo" w:hAnsi="Walisongo"/>
          <w:i/>
          <w:iCs/>
        </w:rPr>
        <w:t>:</w:t>
      </w:r>
    </w:p>
    <w:p w:rsidR="000338C2" w:rsidRPr="00445566" w:rsidRDefault="000338C2" w:rsidP="005B3542">
      <w:pPr>
        <w:pStyle w:val="ISI"/>
        <w:ind w:left="709" w:hanging="425"/>
        <w:rPr>
          <w:rFonts w:ascii="Walisongo" w:hAnsi="Walisongo"/>
        </w:rPr>
      </w:pPr>
      <w:r w:rsidRPr="00445566">
        <w:rPr>
          <w:rFonts w:ascii="Walisongo" w:hAnsi="Walisongo"/>
        </w:rPr>
        <w:t xml:space="preserve">Gladwell, Malcolm. 2000. </w:t>
      </w:r>
      <w:r w:rsidRPr="00445566">
        <w:rPr>
          <w:rFonts w:ascii="Walisongo" w:hAnsi="Walisongo"/>
          <w:i/>
          <w:iCs/>
        </w:rPr>
        <w:t>The Tipping Point: How Little Things Can Make a Big Difference</w:t>
      </w:r>
      <w:r w:rsidRPr="00445566">
        <w:rPr>
          <w:rFonts w:ascii="Walisongo" w:hAnsi="Walisongo"/>
        </w:rPr>
        <w:t>. Boston: Little, Brown.</w:t>
      </w:r>
    </w:p>
    <w:p w:rsidR="000338C2" w:rsidRPr="00445566" w:rsidRDefault="000338C2" w:rsidP="000338C2">
      <w:pPr>
        <w:pStyle w:val="ISI"/>
        <w:ind w:left="284" w:firstLine="0"/>
        <w:rPr>
          <w:rFonts w:ascii="Walisongo" w:hAnsi="Walisongo"/>
        </w:rPr>
      </w:pPr>
      <w:r w:rsidRPr="00445566">
        <w:rPr>
          <w:rFonts w:ascii="Walisongo" w:hAnsi="Walisongo"/>
        </w:rPr>
        <w:t>(Gladwell 2000, 64-65)</w:t>
      </w:r>
    </w:p>
    <w:p w:rsidR="000338C2" w:rsidRPr="00445566" w:rsidRDefault="000338C2" w:rsidP="000338C2">
      <w:pPr>
        <w:pStyle w:val="ISI"/>
        <w:ind w:left="284" w:firstLine="0"/>
        <w:rPr>
          <w:rFonts w:ascii="Walisongo" w:hAnsi="Walisongo"/>
          <w:sz w:val="8"/>
          <w:szCs w:val="8"/>
        </w:rPr>
      </w:pPr>
    </w:p>
    <w:p w:rsidR="000338C2" w:rsidRPr="00445566" w:rsidRDefault="000338C2" w:rsidP="000338C2">
      <w:pPr>
        <w:pStyle w:val="ISI"/>
        <w:ind w:left="284" w:firstLine="0"/>
        <w:rPr>
          <w:rFonts w:ascii="Walisongo" w:hAnsi="Walisongo"/>
          <w:i/>
          <w:iCs/>
        </w:rPr>
      </w:pPr>
      <w:r w:rsidRPr="00445566">
        <w:rPr>
          <w:rFonts w:ascii="Walisongo" w:hAnsi="Walisongo"/>
          <w:i/>
          <w:iCs/>
        </w:rPr>
        <w:t>Two or more authors</w:t>
      </w:r>
      <w:r w:rsidR="0065660C" w:rsidRPr="00445566">
        <w:rPr>
          <w:rFonts w:ascii="Walisongo" w:hAnsi="Walisongo"/>
          <w:i/>
          <w:iCs/>
        </w:rPr>
        <w:t>:</w:t>
      </w:r>
    </w:p>
    <w:p w:rsidR="000338C2" w:rsidRPr="00445566" w:rsidRDefault="000338C2" w:rsidP="005B3542">
      <w:pPr>
        <w:pStyle w:val="ISI"/>
        <w:ind w:left="709" w:hanging="425"/>
        <w:rPr>
          <w:rFonts w:ascii="Walisongo" w:hAnsi="Walisongo"/>
        </w:rPr>
      </w:pPr>
      <w:r w:rsidRPr="00445566">
        <w:rPr>
          <w:rFonts w:ascii="Walisongo" w:hAnsi="Walisongo"/>
        </w:rPr>
        <w:t xml:space="preserve">Morey, Peter, and Amina Yaqin. 2011. </w:t>
      </w:r>
      <w:r w:rsidRPr="00445566">
        <w:rPr>
          <w:rFonts w:ascii="Walisongo" w:hAnsi="Walisongo"/>
          <w:i/>
          <w:iCs/>
        </w:rPr>
        <w:t>Framing Muslims: Stereotyping and Representation after 9/11</w:t>
      </w:r>
      <w:r w:rsidRPr="00445566">
        <w:rPr>
          <w:rFonts w:ascii="Walisongo" w:hAnsi="Walisongo"/>
        </w:rPr>
        <w:t>. Cambridge, MA: Harvard University Press.</w:t>
      </w:r>
    </w:p>
    <w:p w:rsidR="000338C2" w:rsidRPr="00445566" w:rsidRDefault="000338C2" w:rsidP="000338C2">
      <w:pPr>
        <w:pStyle w:val="ISI"/>
        <w:ind w:left="284" w:firstLine="0"/>
        <w:rPr>
          <w:rFonts w:ascii="Walisongo" w:hAnsi="Walisongo"/>
        </w:rPr>
      </w:pPr>
      <w:r w:rsidRPr="00445566">
        <w:rPr>
          <w:rFonts w:ascii="Walisongo" w:hAnsi="Walisongo"/>
        </w:rPr>
        <w:t>(Morey and Yaqin 2011, 52)</w:t>
      </w:r>
    </w:p>
    <w:p w:rsidR="000338C2" w:rsidRPr="00445566" w:rsidRDefault="000338C2" w:rsidP="000338C2">
      <w:pPr>
        <w:pStyle w:val="ISI"/>
        <w:ind w:left="284" w:firstLine="0"/>
        <w:rPr>
          <w:rFonts w:ascii="Walisongo" w:hAnsi="Walisongo"/>
          <w:sz w:val="8"/>
          <w:szCs w:val="8"/>
        </w:rPr>
      </w:pPr>
    </w:p>
    <w:p w:rsidR="000338C2" w:rsidRPr="00445566" w:rsidRDefault="000338C2" w:rsidP="000338C2">
      <w:pPr>
        <w:pStyle w:val="ISI"/>
        <w:ind w:left="284" w:firstLine="0"/>
        <w:rPr>
          <w:rFonts w:ascii="Walisongo" w:hAnsi="Walisongo"/>
        </w:rPr>
      </w:pPr>
      <w:r w:rsidRPr="00445566">
        <w:rPr>
          <w:rFonts w:ascii="Walisongo" w:hAnsi="Walisongo"/>
          <w:i/>
          <w:iCs/>
        </w:rPr>
        <w:t>For four or more authors</w:t>
      </w:r>
      <w:r w:rsidRPr="00445566">
        <w:rPr>
          <w:rFonts w:ascii="Walisongo" w:hAnsi="Walisongo"/>
        </w:rPr>
        <w:t>, list all of the authors in the reference list; in the text, list only the first author, followed by "et al." ("and others"):</w:t>
      </w:r>
    </w:p>
    <w:p w:rsidR="000338C2" w:rsidRPr="00445566" w:rsidRDefault="000338C2" w:rsidP="005B3542">
      <w:pPr>
        <w:pStyle w:val="ISI"/>
        <w:ind w:left="709" w:hanging="425"/>
        <w:rPr>
          <w:rFonts w:ascii="Walisongo" w:hAnsi="Walisongo"/>
        </w:rPr>
      </w:pPr>
      <w:r w:rsidRPr="00445566">
        <w:rPr>
          <w:rFonts w:ascii="Walisongo" w:hAnsi="Walisongo"/>
        </w:rPr>
        <w:t xml:space="preserve">Bernstein, Jay M., Claudia Brodsky, Anthony J. Cascardi, Thierry de Duve, Ales Erjavec, Robert Kaufman, and Fred Rush. 2010. </w:t>
      </w:r>
      <w:r w:rsidRPr="00445566">
        <w:rPr>
          <w:rFonts w:ascii="Walisongo" w:hAnsi="Walisongo"/>
          <w:i/>
          <w:iCs/>
        </w:rPr>
        <w:t>Art and Aesthetics after Adorno</w:t>
      </w:r>
      <w:r w:rsidRPr="00445566">
        <w:rPr>
          <w:rFonts w:ascii="Walisongo" w:hAnsi="Walisongo"/>
        </w:rPr>
        <w:t>. Berkeley: University of California Press.</w:t>
      </w:r>
    </w:p>
    <w:p w:rsidR="000338C2" w:rsidRPr="00445566" w:rsidRDefault="000338C2" w:rsidP="000338C2">
      <w:pPr>
        <w:pStyle w:val="ISI"/>
        <w:ind w:left="284" w:firstLine="0"/>
        <w:rPr>
          <w:rFonts w:ascii="Walisongo" w:hAnsi="Walisongo"/>
        </w:rPr>
      </w:pPr>
      <w:r w:rsidRPr="00445566">
        <w:rPr>
          <w:rFonts w:ascii="Walisongo" w:hAnsi="Walisongo"/>
        </w:rPr>
        <w:t>(Bernstein et al. 2010, 276)</w:t>
      </w:r>
    </w:p>
    <w:p w:rsidR="000338C2" w:rsidRPr="00445566" w:rsidRDefault="000338C2" w:rsidP="000338C2">
      <w:pPr>
        <w:pStyle w:val="ISI"/>
        <w:ind w:left="284" w:firstLine="0"/>
        <w:rPr>
          <w:rFonts w:ascii="Walisongo" w:hAnsi="Walisongo"/>
          <w:sz w:val="8"/>
          <w:szCs w:val="8"/>
        </w:rPr>
      </w:pPr>
    </w:p>
    <w:p w:rsidR="000338C2" w:rsidRPr="00445566" w:rsidRDefault="000338C2" w:rsidP="000338C2">
      <w:pPr>
        <w:pStyle w:val="ISI"/>
        <w:ind w:left="284" w:firstLine="0"/>
        <w:rPr>
          <w:rFonts w:ascii="Walisongo" w:hAnsi="Walisongo"/>
          <w:i/>
          <w:iCs/>
        </w:rPr>
      </w:pPr>
      <w:r w:rsidRPr="00445566">
        <w:rPr>
          <w:rFonts w:ascii="Walisongo" w:hAnsi="Walisongo"/>
          <w:i/>
          <w:iCs/>
        </w:rPr>
        <w:t>Editor or translator instead of author</w:t>
      </w:r>
      <w:r w:rsidR="0065660C" w:rsidRPr="00445566">
        <w:rPr>
          <w:rFonts w:ascii="Walisongo" w:hAnsi="Walisongo"/>
          <w:i/>
          <w:iCs/>
        </w:rPr>
        <w:t>:</w:t>
      </w:r>
    </w:p>
    <w:p w:rsidR="000338C2" w:rsidRPr="00445566" w:rsidRDefault="000338C2" w:rsidP="005B3542">
      <w:pPr>
        <w:pStyle w:val="ISI"/>
        <w:ind w:left="709" w:hanging="425"/>
        <w:rPr>
          <w:rFonts w:ascii="Walisongo" w:hAnsi="Walisongo"/>
        </w:rPr>
      </w:pPr>
      <w:r w:rsidRPr="00445566">
        <w:rPr>
          <w:rFonts w:ascii="Walisongo" w:hAnsi="Walisongo"/>
        </w:rPr>
        <w:t xml:space="preserve">Lattimore, Richmond, trans. 1951. </w:t>
      </w:r>
      <w:r w:rsidRPr="00445566">
        <w:rPr>
          <w:rFonts w:ascii="Walisongo" w:hAnsi="Walisongo"/>
          <w:i/>
          <w:iCs/>
        </w:rPr>
        <w:t>The Iliad of Homer.</w:t>
      </w:r>
      <w:r w:rsidRPr="00445566">
        <w:rPr>
          <w:rFonts w:ascii="Walisongo" w:hAnsi="Walisongo"/>
        </w:rPr>
        <w:t xml:space="preserve"> Chicago: University of Chicago Press.</w:t>
      </w:r>
    </w:p>
    <w:p w:rsidR="000338C2" w:rsidRPr="00445566" w:rsidRDefault="000338C2" w:rsidP="000338C2">
      <w:pPr>
        <w:pStyle w:val="ISI"/>
        <w:ind w:left="284" w:firstLine="0"/>
        <w:rPr>
          <w:rFonts w:ascii="Walisongo" w:hAnsi="Walisongo"/>
        </w:rPr>
      </w:pPr>
      <w:r w:rsidRPr="00445566">
        <w:rPr>
          <w:rFonts w:ascii="Walisongo" w:hAnsi="Walisongo"/>
        </w:rPr>
        <w:t>(Lattimore 1951, 91-92)</w:t>
      </w:r>
    </w:p>
    <w:p w:rsidR="0065660C" w:rsidRPr="00445566" w:rsidRDefault="0065660C" w:rsidP="000338C2">
      <w:pPr>
        <w:pStyle w:val="ISI"/>
        <w:ind w:left="284" w:firstLine="0"/>
        <w:rPr>
          <w:rFonts w:ascii="Walisongo" w:hAnsi="Walisongo"/>
          <w:sz w:val="8"/>
          <w:szCs w:val="8"/>
        </w:rPr>
      </w:pPr>
    </w:p>
    <w:p w:rsidR="000338C2" w:rsidRPr="00445566" w:rsidRDefault="000338C2" w:rsidP="000338C2">
      <w:pPr>
        <w:pStyle w:val="ISI"/>
        <w:ind w:left="284" w:firstLine="0"/>
        <w:rPr>
          <w:rFonts w:ascii="Walisongo" w:hAnsi="Walisongo"/>
          <w:i/>
          <w:iCs/>
        </w:rPr>
      </w:pPr>
      <w:r w:rsidRPr="00445566">
        <w:rPr>
          <w:rFonts w:ascii="Walisongo" w:hAnsi="Walisongo"/>
          <w:i/>
          <w:iCs/>
        </w:rPr>
        <w:t>Editor or translator in addition to author</w:t>
      </w:r>
      <w:r w:rsidR="0065660C" w:rsidRPr="00445566">
        <w:rPr>
          <w:rFonts w:ascii="Walisongo" w:hAnsi="Walisongo"/>
          <w:i/>
          <w:iCs/>
        </w:rPr>
        <w:t>:</w:t>
      </w:r>
    </w:p>
    <w:p w:rsidR="000338C2" w:rsidRPr="00445566" w:rsidRDefault="000338C2" w:rsidP="005B3542">
      <w:pPr>
        <w:pStyle w:val="ISI"/>
        <w:ind w:left="709" w:hanging="425"/>
        <w:rPr>
          <w:rFonts w:ascii="Walisongo" w:hAnsi="Walisongo"/>
        </w:rPr>
      </w:pPr>
      <w:r w:rsidRPr="00445566">
        <w:rPr>
          <w:rFonts w:ascii="Walisongo" w:hAnsi="Walisongo"/>
        </w:rPr>
        <w:t xml:space="preserve">Austen, Jane. 2011. </w:t>
      </w:r>
      <w:r w:rsidRPr="00445566">
        <w:rPr>
          <w:rFonts w:ascii="Walisongo" w:hAnsi="Walisongo"/>
          <w:i/>
          <w:iCs/>
        </w:rPr>
        <w:t>Persuasion: An Annotated Edition.</w:t>
      </w:r>
      <w:r w:rsidRPr="00445566">
        <w:rPr>
          <w:rFonts w:ascii="Walisongo" w:hAnsi="Walisongo"/>
        </w:rPr>
        <w:t xml:space="preserve"> Edited by Robert Morrison. Cambridge, MA: Belknap Press of Harvard University Press.</w:t>
      </w:r>
    </w:p>
    <w:p w:rsidR="000338C2" w:rsidRPr="00445566" w:rsidRDefault="000338C2" w:rsidP="000338C2">
      <w:pPr>
        <w:pStyle w:val="ISI"/>
        <w:ind w:left="284" w:firstLine="0"/>
        <w:rPr>
          <w:rFonts w:ascii="Walisongo" w:hAnsi="Walisongo"/>
        </w:rPr>
      </w:pPr>
      <w:r w:rsidRPr="00445566">
        <w:rPr>
          <w:rFonts w:ascii="Walisongo" w:hAnsi="Walisongo"/>
        </w:rPr>
        <w:t>(Austen 2011, 311-12)</w:t>
      </w:r>
    </w:p>
    <w:p w:rsidR="000338C2" w:rsidRPr="00445566" w:rsidRDefault="000338C2" w:rsidP="000338C2">
      <w:pPr>
        <w:pStyle w:val="ISI"/>
        <w:ind w:left="284" w:firstLine="0"/>
        <w:rPr>
          <w:rFonts w:ascii="Walisongo" w:hAnsi="Walisongo"/>
          <w:sz w:val="8"/>
          <w:szCs w:val="8"/>
        </w:rPr>
      </w:pPr>
    </w:p>
    <w:p w:rsidR="005569B5" w:rsidRPr="00445566" w:rsidRDefault="0065660C" w:rsidP="0065660C">
      <w:pPr>
        <w:pStyle w:val="ISI"/>
        <w:ind w:left="284" w:hanging="284"/>
        <w:rPr>
          <w:rFonts w:ascii="Walisongo" w:hAnsi="Walisongo"/>
        </w:rPr>
      </w:pPr>
      <w:r w:rsidRPr="00445566">
        <w:rPr>
          <w:rFonts w:ascii="Walisongo" w:hAnsi="Walisongo"/>
        </w:rPr>
        <w:t>•</w:t>
      </w:r>
      <w:r w:rsidRPr="00445566">
        <w:rPr>
          <w:rFonts w:ascii="Walisongo" w:hAnsi="Walisongo"/>
        </w:rPr>
        <w:tab/>
        <w:t>Chapter or other Part of a Book</w:t>
      </w:r>
    </w:p>
    <w:p w:rsidR="0065660C" w:rsidRPr="00445566" w:rsidRDefault="0065660C" w:rsidP="005B3542">
      <w:pPr>
        <w:pStyle w:val="ISI"/>
        <w:ind w:left="709" w:hanging="425"/>
        <w:rPr>
          <w:rFonts w:ascii="Walisongo" w:hAnsi="Walisongo"/>
        </w:rPr>
      </w:pPr>
      <w:r w:rsidRPr="00445566">
        <w:rPr>
          <w:rFonts w:ascii="Walisongo" w:hAnsi="Walisongo"/>
        </w:rPr>
        <w:t xml:space="preserve">Ramirez, Angeles. 2010. "Muslim Women in the Spanish Press: The Persistence of Subaltern Images." In </w:t>
      </w:r>
      <w:r w:rsidRPr="00445566">
        <w:rPr>
          <w:rFonts w:ascii="Walisongo" w:hAnsi="Walisongo"/>
          <w:i/>
          <w:iCs/>
        </w:rPr>
        <w:t>Muslim Women in War and Crisis: Representation and Reality,</w:t>
      </w:r>
      <w:r w:rsidRPr="00445566">
        <w:rPr>
          <w:rFonts w:ascii="Walisongo" w:hAnsi="Walisongo"/>
        </w:rPr>
        <w:t xml:space="preserve"> edited by Faegheh Shirazi, 227-44. Austin: University of Texas Press.</w:t>
      </w:r>
    </w:p>
    <w:p w:rsidR="0065660C" w:rsidRPr="00445566" w:rsidRDefault="0065660C" w:rsidP="0065660C">
      <w:pPr>
        <w:pStyle w:val="ISI"/>
        <w:ind w:left="284" w:firstLine="0"/>
        <w:rPr>
          <w:rFonts w:ascii="Walisongo" w:hAnsi="Walisongo"/>
        </w:rPr>
      </w:pPr>
      <w:r w:rsidRPr="00445566">
        <w:rPr>
          <w:rFonts w:ascii="Walisongo" w:hAnsi="Walisongo"/>
        </w:rPr>
        <w:t>(Ramirez 2010, 231)</w:t>
      </w:r>
    </w:p>
    <w:p w:rsidR="0065660C" w:rsidRPr="00445566" w:rsidRDefault="0065660C" w:rsidP="0065660C">
      <w:pPr>
        <w:pStyle w:val="ISI"/>
        <w:ind w:left="284" w:firstLine="0"/>
        <w:rPr>
          <w:rFonts w:ascii="Walisongo" w:hAnsi="Walisongo"/>
          <w:sz w:val="8"/>
          <w:szCs w:val="8"/>
        </w:rPr>
      </w:pPr>
    </w:p>
    <w:p w:rsidR="0065660C" w:rsidRPr="00445566" w:rsidRDefault="0065660C" w:rsidP="0065660C">
      <w:pPr>
        <w:pStyle w:val="ISI"/>
        <w:ind w:left="284" w:hanging="284"/>
        <w:rPr>
          <w:rFonts w:ascii="Walisongo" w:hAnsi="Walisongo"/>
        </w:rPr>
      </w:pPr>
      <w:r w:rsidRPr="00445566">
        <w:rPr>
          <w:rFonts w:ascii="Walisongo" w:hAnsi="Walisongo"/>
        </w:rPr>
        <w:t>•</w:t>
      </w:r>
      <w:r w:rsidRPr="00445566">
        <w:rPr>
          <w:rFonts w:ascii="Walisongo" w:hAnsi="Walisongo"/>
        </w:rPr>
        <w:tab/>
        <w:t>Preface, Foreword, Introduction, or Similar Part of a Book:</w:t>
      </w:r>
    </w:p>
    <w:p w:rsidR="0065660C" w:rsidRPr="00445566" w:rsidRDefault="0065660C" w:rsidP="005B3542">
      <w:pPr>
        <w:pStyle w:val="ISI"/>
        <w:ind w:left="709" w:hanging="425"/>
        <w:rPr>
          <w:rFonts w:ascii="Walisongo" w:hAnsi="Walisongo"/>
        </w:rPr>
      </w:pPr>
      <w:r w:rsidRPr="00445566">
        <w:rPr>
          <w:rFonts w:ascii="Walisongo" w:hAnsi="Walisongo"/>
        </w:rPr>
        <w:t xml:space="preserve">Cronon, William. 2012. Foreword to </w:t>
      </w:r>
      <w:r w:rsidRPr="00445566">
        <w:rPr>
          <w:rFonts w:ascii="Walisongo" w:hAnsi="Walisongo"/>
          <w:i/>
          <w:iCs/>
        </w:rPr>
        <w:t>The Republic of Nature,</w:t>
      </w:r>
      <w:r w:rsidRPr="00445566">
        <w:rPr>
          <w:rFonts w:ascii="Walisongo" w:hAnsi="Walisongo"/>
        </w:rPr>
        <w:t xml:space="preserve"> by Mark Fiege, ix-xii. Seattle: University of Washington Press.</w:t>
      </w:r>
    </w:p>
    <w:p w:rsidR="0065660C" w:rsidRPr="00445566" w:rsidRDefault="0065660C" w:rsidP="0065660C">
      <w:pPr>
        <w:pStyle w:val="ISI"/>
        <w:ind w:left="284" w:firstLine="0"/>
        <w:rPr>
          <w:rFonts w:ascii="Walisongo" w:hAnsi="Walisongo"/>
        </w:rPr>
      </w:pPr>
      <w:r w:rsidRPr="00445566">
        <w:rPr>
          <w:rFonts w:ascii="Walisongo" w:hAnsi="Walisongo"/>
        </w:rPr>
        <w:t>(Cronon 2012, ix)</w:t>
      </w:r>
    </w:p>
    <w:p w:rsidR="0065660C" w:rsidRPr="00445566" w:rsidRDefault="0065660C" w:rsidP="005C35E7">
      <w:pPr>
        <w:pStyle w:val="ISI"/>
        <w:ind w:left="284" w:firstLine="0"/>
        <w:rPr>
          <w:rFonts w:ascii="Walisongo" w:hAnsi="Walisongo"/>
          <w:sz w:val="8"/>
          <w:szCs w:val="8"/>
        </w:rPr>
      </w:pPr>
    </w:p>
    <w:p w:rsidR="0065660C" w:rsidRPr="00445566" w:rsidRDefault="005569B5" w:rsidP="000338C2">
      <w:pPr>
        <w:pStyle w:val="ISI"/>
        <w:ind w:left="284" w:hanging="284"/>
        <w:rPr>
          <w:rFonts w:ascii="Walisongo" w:hAnsi="Walisongo"/>
        </w:rPr>
      </w:pPr>
      <w:r w:rsidRPr="00445566">
        <w:rPr>
          <w:rFonts w:ascii="Walisongo" w:hAnsi="Walisongo"/>
        </w:rPr>
        <w:t>•</w:t>
      </w:r>
      <w:r w:rsidRPr="00445566">
        <w:rPr>
          <w:rFonts w:ascii="Walisongo" w:hAnsi="Walisongo"/>
        </w:rPr>
        <w:tab/>
      </w:r>
      <w:r w:rsidR="0065660C" w:rsidRPr="00445566">
        <w:rPr>
          <w:rFonts w:ascii="Walisongo" w:hAnsi="Walisongo"/>
        </w:rPr>
        <w:t>Journal Article</w:t>
      </w:r>
    </w:p>
    <w:p w:rsidR="0065660C" w:rsidRPr="00445566" w:rsidRDefault="0065660C" w:rsidP="0065660C">
      <w:pPr>
        <w:pStyle w:val="ISI"/>
        <w:ind w:left="284" w:firstLine="0"/>
        <w:rPr>
          <w:rFonts w:ascii="Walisongo" w:hAnsi="Walisongo"/>
          <w:i/>
          <w:iCs/>
        </w:rPr>
      </w:pPr>
      <w:r w:rsidRPr="00445566">
        <w:rPr>
          <w:rFonts w:ascii="Walisongo" w:hAnsi="Walisongo"/>
          <w:i/>
          <w:iCs/>
        </w:rPr>
        <w:t>Article in a print journal:</w:t>
      </w:r>
    </w:p>
    <w:p w:rsidR="0065660C" w:rsidRPr="00445566" w:rsidRDefault="0065660C" w:rsidP="005B3542">
      <w:pPr>
        <w:pStyle w:val="ISI"/>
        <w:ind w:left="709" w:hanging="425"/>
        <w:rPr>
          <w:rFonts w:ascii="Walisongo" w:hAnsi="Walisongo"/>
        </w:rPr>
      </w:pPr>
      <w:r w:rsidRPr="00445566">
        <w:rPr>
          <w:rFonts w:ascii="Walisongo" w:hAnsi="Walisongo"/>
        </w:rPr>
        <w:t xml:space="preserve">Bogren, Alexandra. 2011. "Gender and Alcohol: The Swedish Press Debate." </w:t>
      </w:r>
      <w:r w:rsidRPr="00445566">
        <w:rPr>
          <w:rFonts w:ascii="Walisongo" w:hAnsi="Walisongo"/>
          <w:i/>
          <w:iCs/>
        </w:rPr>
        <w:t>Journal of Gender Studies</w:t>
      </w:r>
      <w:r w:rsidRPr="00445566">
        <w:rPr>
          <w:rFonts w:ascii="Walisongo" w:hAnsi="Walisongo"/>
        </w:rPr>
        <w:t xml:space="preserve"> 20, No. 2: 155-69.</w:t>
      </w:r>
    </w:p>
    <w:p w:rsidR="0065660C" w:rsidRPr="00445566" w:rsidRDefault="0065660C" w:rsidP="0065660C">
      <w:pPr>
        <w:pStyle w:val="ISI"/>
        <w:ind w:left="284" w:firstLine="0"/>
        <w:rPr>
          <w:rFonts w:ascii="Walisongo" w:hAnsi="Walisongo"/>
        </w:rPr>
      </w:pPr>
      <w:r w:rsidRPr="00445566">
        <w:rPr>
          <w:rFonts w:ascii="Walisongo" w:hAnsi="Walisongo"/>
        </w:rPr>
        <w:t>(Bogren 2011, 156)</w:t>
      </w:r>
    </w:p>
    <w:p w:rsidR="005B3542" w:rsidRPr="00445566" w:rsidRDefault="005B3542" w:rsidP="0065660C">
      <w:pPr>
        <w:pStyle w:val="ISI"/>
        <w:ind w:left="284" w:firstLine="0"/>
        <w:rPr>
          <w:rFonts w:ascii="Walisongo" w:hAnsi="Walisongo"/>
          <w:sz w:val="8"/>
          <w:szCs w:val="8"/>
        </w:rPr>
      </w:pPr>
    </w:p>
    <w:p w:rsidR="0065660C" w:rsidRPr="00445566" w:rsidRDefault="0065660C" w:rsidP="0065660C">
      <w:pPr>
        <w:pStyle w:val="ISI"/>
        <w:ind w:left="284" w:firstLine="0"/>
        <w:rPr>
          <w:rFonts w:ascii="Walisongo" w:hAnsi="Walisongo"/>
          <w:i/>
          <w:iCs/>
        </w:rPr>
      </w:pPr>
      <w:r w:rsidRPr="00445566">
        <w:rPr>
          <w:rFonts w:ascii="Walisongo" w:hAnsi="Walisongo"/>
          <w:i/>
          <w:iCs/>
        </w:rPr>
        <w:t>Article in an online journal:</w:t>
      </w:r>
    </w:p>
    <w:p w:rsidR="0065660C" w:rsidRPr="00445566" w:rsidRDefault="0065660C" w:rsidP="005B3542">
      <w:pPr>
        <w:pStyle w:val="ISI"/>
        <w:ind w:left="709" w:hanging="425"/>
        <w:rPr>
          <w:rFonts w:ascii="Walisongo" w:hAnsi="Walisongo"/>
        </w:rPr>
      </w:pPr>
      <w:r w:rsidRPr="00445566">
        <w:rPr>
          <w:rFonts w:ascii="Walisongo" w:hAnsi="Walisongo"/>
        </w:rPr>
        <w:t xml:space="preserve">Brown, Campbell. 2011. "Consequentialize This." </w:t>
      </w:r>
      <w:r w:rsidRPr="00445566">
        <w:rPr>
          <w:rFonts w:ascii="Walisongo" w:hAnsi="Walisongo"/>
          <w:i/>
          <w:iCs/>
        </w:rPr>
        <w:t>Ethics</w:t>
      </w:r>
      <w:r w:rsidRPr="00445566">
        <w:rPr>
          <w:rFonts w:ascii="Walisongo" w:hAnsi="Walisongo"/>
        </w:rPr>
        <w:t xml:space="preserve"> 121, No. 4: 749-71. http://dx.doi.org/10.1086/660696.</w:t>
      </w:r>
    </w:p>
    <w:p w:rsidR="0065660C" w:rsidRPr="00445566" w:rsidRDefault="005B3542" w:rsidP="0065660C">
      <w:pPr>
        <w:pStyle w:val="ISI"/>
        <w:ind w:left="284" w:firstLine="0"/>
        <w:rPr>
          <w:rFonts w:ascii="Walisongo" w:hAnsi="Walisongo"/>
        </w:rPr>
      </w:pPr>
      <w:r w:rsidRPr="00445566">
        <w:rPr>
          <w:rFonts w:ascii="Walisongo" w:hAnsi="Walisongo"/>
        </w:rPr>
        <w:t xml:space="preserve"> </w:t>
      </w:r>
      <w:r w:rsidR="0065660C" w:rsidRPr="00445566">
        <w:rPr>
          <w:rFonts w:ascii="Walisongo" w:hAnsi="Walisongo"/>
        </w:rPr>
        <w:t>(Brown 2011, 752)</w:t>
      </w:r>
    </w:p>
    <w:p w:rsidR="005C35E7" w:rsidRPr="00445566" w:rsidRDefault="005C35E7" w:rsidP="005C35E7">
      <w:pPr>
        <w:pStyle w:val="ISI"/>
        <w:ind w:left="284" w:hanging="284"/>
        <w:rPr>
          <w:rFonts w:ascii="Walisongo" w:hAnsi="Walisongo"/>
        </w:rPr>
      </w:pPr>
      <w:r w:rsidRPr="00445566">
        <w:rPr>
          <w:rFonts w:ascii="Walisongo" w:hAnsi="Walisongo"/>
        </w:rPr>
        <w:t>•</w:t>
      </w:r>
      <w:r w:rsidRPr="00445566">
        <w:rPr>
          <w:rFonts w:ascii="Walisongo" w:hAnsi="Walisongo"/>
        </w:rPr>
        <w:tab/>
        <w:t>Book Review</w:t>
      </w:r>
    </w:p>
    <w:p w:rsidR="005C35E7" w:rsidRPr="00445566" w:rsidRDefault="005C35E7" w:rsidP="005C35E7">
      <w:pPr>
        <w:pStyle w:val="ISI"/>
        <w:ind w:left="709" w:hanging="425"/>
        <w:rPr>
          <w:rFonts w:ascii="Walisongo" w:hAnsi="Walisongo"/>
        </w:rPr>
      </w:pPr>
      <w:r w:rsidRPr="00445566">
        <w:rPr>
          <w:rFonts w:ascii="Walisongo" w:hAnsi="Walisongo"/>
        </w:rPr>
        <w:t>Mokyr, Joel. 2011. Review of </w:t>
      </w:r>
      <w:r w:rsidRPr="00445566">
        <w:rPr>
          <w:rFonts w:ascii="Walisongo" w:hAnsi="Walisongo"/>
          <w:i/>
          <w:iCs/>
        </w:rPr>
        <w:t>Natural Experiments of History</w:t>
      </w:r>
      <w:r w:rsidRPr="00445566">
        <w:rPr>
          <w:rFonts w:ascii="Walisongo" w:hAnsi="Walisongo"/>
        </w:rPr>
        <w:t>, edited by Jared Diamond and James A. Robinson. </w:t>
      </w:r>
      <w:r w:rsidRPr="00445566">
        <w:rPr>
          <w:rFonts w:ascii="Walisongo" w:hAnsi="Walisongo"/>
          <w:i/>
          <w:iCs/>
        </w:rPr>
        <w:t>American Historical Review</w:t>
      </w:r>
      <w:r w:rsidRPr="00445566">
        <w:rPr>
          <w:rFonts w:ascii="Walisongo" w:hAnsi="Walisongo"/>
        </w:rPr>
        <w:t> 116, No. 3 (June): 752-55. http://dx.doi.org/10.1086/ahr.116.3.752.</w:t>
      </w:r>
    </w:p>
    <w:p w:rsidR="005C35E7" w:rsidRPr="00445566" w:rsidRDefault="005C35E7" w:rsidP="005C35E7">
      <w:pPr>
        <w:pStyle w:val="ISI"/>
        <w:ind w:left="709" w:hanging="425"/>
        <w:rPr>
          <w:rFonts w:ascii="Walisongo" w:hAnsi="Walisongo"/>
        </w:rPr>
      </w:pPr>
      <w:r w:rsidRPr="00445566">
        <w:rPr>
          <w:rFonts w:ascii="Walisongo" w:hAnsi="Walisongo"/>
        </w:rPr>
        <w:t>(Mokyr 2011, 754)</w:t>
      </w:r>
    </w:p>
    <w:p w:rsidR="005C35E7" w:rsidRPr="00445566" w:rsidRDefault="005C35E7" w:rsidP="005C35E7">
      <w:pPr>
        <w:pStyle w:val="ISI"/>
        <w:ind w:left="284" w:firstLine="0"/>
        <w:rPr>
          <w:rFonts w:ascii="Walisongo" w:hAnsi="Walisongo"/>
          <w:sz w:val="8"/>
          <w:szCs w:val="8"/>
        </w:rPr>
      </w:pPr>
    </w:p>
    <w:p w:rsidR="005B3542" w:rsidRPr="00445566" w:rsidRDefault="005B3542" w:rsidP="005B3542">
      <w:pPr>
        <w:pStyle w:val="ISI"/>
        <w:ind w:left="284" w:hanging="284"/>
        <w:rPr>
          <w:rFonts w:ascii="Walisongo" w:hAnsi="Walisongo"/>
        </w:rPr>
      </w:pPr>
      <w:r w:rsidRPr="00445566">
        <w:rPr>
          <w:rFonts w:ascii="Walisongo" w:hAnsi="Walisongo"/>
        </w:rPr>
        <w:t>•</w:t>
      </w:r>
      <w:r w:rsidRPr="00445566">
        <w:rPr>
          <w:rFonts w:ascii="Walisongo" w:hAnsi="Walisongo"/>
        </w:rPr>
        <w:tab/>
        <w:t xml:space="preserve">Magazine </w:t>
      </w:r>
      <w:r w:rsidR="00EB3024" w:rsidRPr="00445566">
        <w:rPr>
          <w:rFonts w:ascii="Walisongo" w:hAnsi="Walisongo"/>
        </w:rPr>
        <w:t>Article</w:t>
      </w:r>
    </w:p>
    <w:p w:rsidR="005B3542" w:rsidRPr="00445566" w:rsidRDefault="005B3542" w:rsidP="005B3542">
      <w:pPr>
        <w:pStyle w:val="ISI"/>
        <w:ind w:left="709" w:hanging="425"/>
        <w:rPr>
          <w:rFonts w:ascii="Walisongo" w:hAnsi="Walisongo"/>
        </w:rPr>
      </w:pPr>
      <w:r w:rsidRPr="00445566">
        <w:rPr>
          <w:rFonts w:ascii="Walisongo" w:hAnsi="Walisongo"/>
        </w:rPr>
        <w:t xml:space="preserve">Lepore, Jill. 2011. "Dickens in Eden." </w:t>
      </w:r>
      <w:r w:rsidRPr="00445566">
        <w:rPr>
          <w:rFonts w:ascii="Walisongo" w:hAnsi="Walisongo"/>
          <w:i/>
          <w:iCs/>
        </w:rPr>
        <w:t>New Yorker,</w:t>
      </w:r>
      <w:r w:rsidRPr="00445566">
        <w:rPr>
          <w:rFonts w:ascii="Walisongo" w:hAnsi="Walisongo"/>
        </w:rPr>
        <w:t xml:space="preserve"> August 29.</w:t>
      </w:r>
    </w:p>
    <w:p w:rsidR="005B3542" w:rsidRPr="00445566" w:rsidRDefault="005B3542" w:rsidP="005B3542">
      <w:pPr>
        <w:pStyle w:val="ISI"/>
        <w:ind w:left="284" w:firstLine="0"/>
        <w:rPr>
          <w:rFonts w:ascii="Walisongo" w:hAnsi="Walisongo"/>
        </w:rPr>
      </w:pPr>
      <w:r w:rsidRPr="00445566">
        <w:rPr>
          <w:rFonts w:ascii="Walisongo" w:hAnsi="Walisongo"/>
        </w:rPr>
        <w:t>(Lepore 2011, 52)</w:t>
      </w:r>
    </w:p>
    <w:p w:rsidR="0065660C" w:rsidRPr="00445566" w:rsidRDefault="0065660C" w:rsidP="005C35E7">
      <w:pPr>
        <w:pStyle w:val="ISI"/>
        <w:ind w:left="284" w:firstLine="0"/>
        <w:rPr>
          <w:rFonts w:ascii="Walisongo" w:hAnsi="Walisongo"/>
          <w:sz w:val="8"/>
          <w:szCs w:val="8"/>
        </w:rPr>
      </w:pPr>
    </w:p>
    <w:p w:rsidR="00EB3024" w:rsidRPr="00445566" w:rsidRDefault="00EB3024" w:rsidP="00EB3024">
      <w:pPr>
        <w:pStyle w:val="ISI"/>
        <w:ind w:left="284" w:hanging="284"/>
        <w:rPr>
          <w:rFonts w:ascii="Walisongo" w:hAnsi="Walisongo"/>
        </w:rPr>
      </w:pPr>
      <w:r w:rsidRPr="00445566">
        <w:rPr>
          <w:rFonts w:ascii="Walisongo" w:hAnsi="Walisongo"/>
        </w:rPr>
        <w:t>•</w:t>
      </w:r>
      <w:r w:rsidRPr="00445566">
        <w:rPr>
          <w:rFonts w:ascii="Walisongo" w:hAnsi="Walisongo"/>
        </w:rPr>
        <w:tab/>
        <w:t>Newspaper Article</w:t>
      </w:r>
    </w:p>
    <w:p w:rsidR="00EB3024" w:rsidRPr="00445566" w:rsidRDefault="00EB3024" w:rsidP="00EB3024">
      <w:pPr>
        <w:pStyle w:val="ISI"/>
        <w:ind w:left="709" w:hanging="425"/>
        <w:rPr>
          <w:rFonts w:ascii="Walisongo" w:hAnsi="Walisongo"/>
        </w:rPr>
      </w:pPr>
      <w:r w:rsidRPr="00445566">
        <w:rPr>
          <w:rFonts w:ascii="Walisongo" w:hAnsi="Walisongo"/>
        </w:rPr>
        <w:t xml:space="preserve">Bumiller, Elisabeth, and Thom Shanker. 2013. "Pentagon Lifts Ban on Women in Combat." </w:t>
      </w:r>
      <w:r w:rsidRPr="00445566">
        <w:rPr>
          <w:rFonts w:ascii="Walisongo" w:hAnsi="Walisongo"/>
          <w:i/>
          <w:iCs/>
        </w:rPr>
        <w:t>New York Times,</w:t>
      </w:r>
      <w:r w:rsidRPr="00445566">
        <w:rPr>
          <w:rFonts w:ascii="Walisongo" w:hAnsi="Walisongo"/>
        </w:rPr>
        <w:t xml:space="preserve"> January 23. Accessed January 24, 2013. http://www.nytimes.com</w:t>
      </w:r>
      <w:r w:rsidRPr="00445566">
        <w:rPr>
          <w:rFonts w:ascii="Walisongo" w:hAnsi="Walisongo"/>
        </w:rPr>
        <w:softHyphen/>
        <w:t>/2013/01/24/us/pentagon-says-it-is-lifting-ban-on-women-in-combat.html.</w:t>
      </w:r>
    </w:p>
    <w:p w:rsidR="00EB3024" w:rsidRPr="00445566" w:rsidRDefault="00EB3024" w:rsidP="00EB3024">
      <w:pPr>
        <w:pStyle w:val="ISI"/>
        <w:ind w:left="709" w:hanging="425"/>
        <w:rPr>
          <w:rFonts w:ascii="Walisongo" w:hAnsi="Walisongo"/>
        </w:rPr>
      </w:pPr>
      <w:r w:rsidRPr="00445566">
        <w:rPr>
          <w:rFonts w:ascii="Walisongo" w:hAnsi="Walisongo"/>
        </w:rPr>
        <w:t>(Bumiller and Shanker 2013)</w:t>
      </w:r>
    </w:p>
    <w:p w:rsidR="005C35E7" w:rsidRPr="00445566" w:rsidRDefault="005C35E7" w:rsidP="005C35E7">
      <w:pPr>
        <w:pStyle w:val="ISI"/>
        <w:ind w:left="284" w:firstLine="0"/>
        <w:rPr>
          <w:rFonts w:ascii="Walisongo" w:hAnsi="Walisongo"/>
          <w:sz w:val="8"/>
          <w:szCs w:val="8"/>
        </w:rPr>
      </w:pPr>
    </w:p>
    <w:p w:rsidR="005C35E7" w:rsidRPr="00445566" w:rsidRDefault="005C35E7" w:rsidP="005C35E7">
      <w:pPr>
        <w:pStyle w:val="ISI"/>
        <w:ind w:left="284" w:hanging="284"/>
        <w:rPr>
          <w:rFonts w:ascii="Walisongo" w:hAnsi="Walisongo"/>
        </w:rPr>
      </w:pPr>
      <w:r w:rsidRPr="00445566">
        <w:rPr>
          <w:rFonts w:ascii="Walisongo" w:hAnsi="Walisongo"/>
        </w:rPr>
        <w:t>•</w:t>
      </w:r>
      <w:r w:rsidRPr="00445566">
        <w:rPr>
          <w:rFonts w:ascii="Walisongo" w:hAnsi="Walisongo"/>
        </w:rPr>
        <w:tab/>
        <w:t>Thesis or Dissertation</w:t>
      </w:r>
    </w:p>
    <w:p w:rsidR="005C35E7" w:rsidRPr="00445566" w:rsidRDefault="005C35E7" w:rsidP="005C35E7">
      <w:pPr>
        <w:pStyle w:val="ISI"/>
        <w:ind w:left="709" w:hanging="425"/>
        <w:rPr>
          <w:rFonts w:ascii="Walisongo" w:hAnsi="Walisongo"/>
        </w:rPr>
      </w:pPr>
      <w:r w:rsidRPr="00445566">
        <w:rPr>
          <w:rFonts w:ascii="Walisongo" w:hAnsi="Walisongo"/>
        </w:rPr>
        <w:t>Levin, Dana S. 2010. "Let's Talk about Sex Education: Exploring Youth Perspectives, Implicit Messages, and Unexamined Implications of Sex Education in Schools." PhD diss., University of Michigan.</w:t>
      </w:r>
    </w:p>
    <w:p w:rsidR="005C35E7" w:rsidRPr="00445566" w:rsidRDefault="005C35E7" w:rsidP="005C35E7">
      <w:pPr>
        <w:pStyle w:val="ISI"/>
        <w:ind w:left="709" w:hanging="425"/>
        <w:rPr>
          <w:rFonts w:ascii="Walisongo" w:hAnsi="Walisongo"/>
        </w:rPr>
      </w:pPr>
      <w:r w:rsidRPr="00445566">
        <w:rPr>
          <w:rFonts w:ascii="Walisongo" w:hAnsi="Walisongo"/>
        </w:rPr>
        <w:t>(Levin 2010, 101-2)</w:t>
      </w:r>
    </w:p>
    <w:p w:rsidR="005C35E7" w:rsidRPr="00445566" w:rsidRDefault="005C35E7" w:rsidP="005C35E7">
      <w:pPr>
        <w:pStyle w:val="ISI"/>
        <w:ind w:left="284" w:firstLine="0"/>
        <w:rPr>
          <w:rFonts w:ascii="Walisongo" w:hAnsi="Walisongo"/>
          <w:sz w:val="8"/>
          <w:szCs w:val="8"/>
        </w:rPr>
      </w:pPr>
    </w:p>
    <w:p w:rsidR="005C35E7" w:rsidRPr="00445566" w:rsidRDefault="005C35E7" w:rsidP="005C35E7">
      <w:pPr>
        <w:pStyle w:val="ISI"/>
        <w:ind w:left="284" w:hanging="284"/>
        <w:rPr>
          <w:rFonts w:ascii="Walisongo" w:hAnsi="Walisongo"/>
        </w:rPr>
      </w:pPr>
      <w:r w:rsidRPr="00445566">
        <w:rPr>
          <w:rFonts w:ascii="Walisongo" w:hAnsi="Walisongo"/>
        </w:rPr>
        <w:t>•</w:t>
      </w:r>
      <w:r w:rsidRPr="00445566">
        <w:rPr>
          <w:rFonts w:ascii="Walisongo" w:hAnsi="Walisongo"/>
        </w:rPr>
        <w:tab/>
        <w:t>Paper Presented at a Meeting or Conference</w:t>
      </w:r>
    </w:p>
    <w:p w:rsidR="005C35E7" w:rsidRPr="00445566" w:rsidRDefault="005C35E7" w:rsidP="005C35E7">
      <w:pPr>
        <w:pStyle w:val="ISI"/>
        <w:ind w:left="709" w:hanging="425"/>
        <w:rPr>
          <w:rFonts w:ascii="Walisongo" w:hAnsi="Walisongo"/>
        </w:rPr>
      </w:pPr>
      <w:r w:rsidRPr="00445566">
        <w:rPr>
          <w:rFonts w:ascii="Walisongo" w:hAnsi="Walisongo"/>
        </w:rPr>
        <w:t>Adelman, Rachel. 2009. " 'Such Stuff as Dreams Are Made On': God's Footstool in the Aramaic Targumim and Midrashic Tradition." Paper presented at the annual meeting for the Society of Biblical Literature, New Orleans, Louisiana, November 21-24.</w:t>
      </w:r>
    </w:p>
    <w:p w:rsidR="005C35E7" w:rsidRPr="00445566" w:rsidRDefault="005C35E7" w:rsidP="005C35E7">
      <w:pPr>
        <w:pStyle w:val="ISI"/>
        <w:ind w:left="709" w:hanging="425"/>
        <w:rPr>
          <w:rFonts w:ascii="Walisongo" w:hAnsi="Walisongo"/>
        </w:rPr>
      </w:pPr>
      <w:r w:rsidRPr="00445566">
        <w:rPr>
          <w:rFonts w:ascii="Walisongo" w:hAnsi="Walisongo"/>
        </w:rPr>
        <w:t>(Adelman 2009)</w:t>
      </w:r>
    </w:p>
    <w:p w:rsidR="005F7BCD" w:rsidRPr="00445566" w:rsidRDefault="005F7BCD" w:rsidP="005C35E7">
      <w:pPr>
        <w:pStyle w:val="ISI"/>
        <w:ind w:left="709" w:hanging="425"/>
        <w:rPr>
          <w:rFonts w:ascii="Walisongo" w:hAnsi="Walisongo"/>
        </w:rPr>
      </w:pPr>
    </w:p>
    <w:p w:rsidR="005F7BCD" w:rsidRPr="00445566" w:rsidRDefault="005F7BCD" w:rsidP="005C35E7">
      <w:pPr>
        <w:pStyle w:val="ISI"/>
        <w:ind w:left="709" w:hanging="425"/>
        <w:rPr>
          <w:rFonts w:ascii="Walisongo" w:hAnsi="Walisongo"/>
        </w:rPr>
      </w:pPr>
    </w:p>
    <w:p w:rsidR="005569B5" w:rsidRPr="00445566" w:rsidRDefault="005569B5" w:rsidP="005569B5">
      <w:pPr>
        <w:pStyle w:val="JUDULSUB"/>
        <w:spacing w:after="0"/>
        <w:ind w:left="397" w:hanging="397"/>
        <w:rPr>
          <w:rFonts w:ascii="Walisongo" w:hAnsi="Walisongo"/>
          <w:b w:val="0"/>
          <w:bCs/>
          <w:i/>
          <w:iCs/>
        </w:rPr>
      </w:pPr>
      <w:r w:rsidRPr="00445566">
        <w:rPr>
          <w:rFonts w:ascii="Walisongo" w:hAnsi="Walisongo"/>
          <w:b w:val="0"/>
          <w:bCs/>
          <w:i/>
          <w:iCs/>
        </w:rPr>
        <w:t xml:space="preserve">e. </w:t>
      </w:r>
      <w:r w:rsidRPr="00445566">
        <w:rPr>
          <w:rFonts w:ascii="Walisongo" w:hAnsi="Walisongo"/>
          <w:b w:val="0"/>
          <w:bCs/>
          <w:i/>
          <w:iCs/>
        </w:rPr>
        <w:tab/>
        <w:t>Header, Footer, and Hyperlink</w:t>
      </w:r>
    </w:p>
    <w:p w:rsidR="00726F8D" w:rsidRPr="00445566" w:rsidRDefault="00FF016B" w:rsidP="00FF016B">
      <w:pPr>
        <w:pStyle w:val="ISI"/>
        <w:rPr>
          <w:rFonts w:ascii="Walisongo" w:hAnsi="Walisongo"/>
        </w:rPr>
      </w:pPr>
      <w:r w:rsidRPr="00445566">
        <w:rPr>
          <w:rFonts w:ascii="Walisongo" w:hAnsi="Walisongo"/>
        </w:rPr>
        <w:t>Header and footer including page number must not be used. All hypertext links and section bookmarks should be removed from papers. If you need to refer to a website email address or URL in your paper, you must type out the address or URL fully in Regular font.</w:t>
      </w:r>
    </w:p>
    <w:p w:rsidR="00D47820" w:rsidRPr="00445566" w:rsidRDefault="0018360E" w:rsidP="00F16604">
      <w:pPr>
        <w:pStyle w:val="JUDULSUB"/>
        <w:rPr>
          <w:rFonts w:ascii="Walisongo" w:hAnsi="Walisongo"/>
        </w:rPr>
      </w:pPr>
      <w:r w:rsidRPr="00445566">
        <w:rPr>
          <w:rFonts w:ascii="Walisongo" w:hAnsi="Walisongo"/>
        </w:rPr>
        <w:t>Bibliography</w:t>
      </w:r>
    </w:p>
    <w:p w:rsidR="000338C2" w:rsidRPr="00445566" w:rsidRDefault="00484286" w:rsidP="000338C2">
      <w:pPr>
        <w:widowControl w:val="0"/>
        <w:autoSpaceDE w:val="0"/>
        <w:autoSpaceDN w:val="0"/>
        <w:adjustRightInd w:val="0"/>
        <w:spacing w:before="120" w:after="120" w:line="240" w:lineRule="auto"/>
        <w:ind w:left="480" w:hanging="480"/>
        <w:rPr>
          <w:rFonts w:ascii="Walisongo" w:hAnsi="Walisongo" w:cs="Times New Roman"/>
          <w:noProof/>
          <w:sz w:val="24"/>
          <w:szCs w:val="24"/>
        </w:rPr>
      </w:pPr>
      <w:r w:rsidRPr="00445566">
        <w:rPr>
          <w:rFonts w:ascii="Walisongo" w:hAnsi="Walisongo"/>
        </w:rPr>
        <w:fldChar w:fldCharType="begin" w:fldLock="1"/>
      </w:r>
      <w:r w:rsidRPr="00445566">
        <w:rPr>
          <w:rFonts w:ascii="Walisongo" w:hAnsi="Walisongo"/>
        </w:rPr>
        <w:instrText xml:space="preserve">ADDIN Mendeley Bibliography CSL_BIBLIOGRAPHY </w:instrText>
      </w:r>
      <w:r w:rsidRPr="00445566">
        <w:rPr>
          <w:rFonts w:ascii="Walisongo" w:hAnsi="Walisongo"/>
        </w:rPr>
        <w:fldChar w:fldCharType="separate"/>
      </w:r>
      <w:r w:rsidR="000338C2" w:rsidRPr="00445566">
        <w:rPr>
          <w:rFonts w:ascii="Walisongo" w:hAnsi="Walisongo" w:cs="Times New Roman"/>
          <w:noProof/>
          <w:sz w:val="24"/>
          <w:szCs w:val="24"/>
        </w:rPr>
        <w:t xml:space="preserve">Berwick, Robert C., and Noam Chomsky. 2016. </w:t>
      </w:r>
      <w:r w:rsidR="000338C2" w:rsidRPr="00445566">
        <w:rPr>
          <w:rFonts w:ascii="Walisongo" w:hAnsi="Walisongo" w:cs="Times New Roman"/>
          <w:i/>
          <w:iCs/>
          <w:noProof/>
          <w:sz w:val="24"/>
          <w:szCs w:val="24"/>
        </w:rPr>
        <w:t>Why Only Us: Language and Evolution</w:t>
      </w:r>
      <w:r w:rsidR="000338C2" w:rsidRPr="00445566">
        <w:rPr>
          <w:rFonts w:ascii="Walisongo" w:hAnsi="Walisongo" w:cs="Times New Roman"/>
          <w:noProof/>
          <w:sz w:val="24"/>
          <w:szCs w:val="24"/>
        </w:rPr>
        <w:t>. Cambridge: The MIT Press. doi:10.7551/mitpress/9780262034241.001.0001.</w:t>
      </w:r>
    </w:p>
    <w:p w:rsidR="000338C2" w:rsidRPr="00445566" w:rsidRDefault="000338C2" w:rsidP="000338C2">
      <w:pPr>
        <w:widowControl w:val="0"/>
        <w:autoSpaceDE w:val="0"/>
        <w:autoSpaceDN w:val="0"/>
        <w:adjustRightInd w:val="0"/>
        <w:spacing w:before="120" w:after="120" w:line="240" w:lineRule="auto"/>
        <w:ind w:left="480" w:hanging="480"/>
        <w:rPr>
          <w:rFonts w:ascii="Walisongo" w:hAnsi="Walisongo"/>
          <w:noProof/>
          <w:sz w:val="24"/>
        </w:rPr>
      </w:pPr>
      <w:r w:rsidRPr="00445566">
        <w:rPr>
          <w:rFonts w:ascii="Walisongo" w:hAnsi="Walisongo" w:cs="Times New Roman"/>
          <w:noProof/>
          <w:sz w:val="24"/>
          <w:szCs w:val="24"/>
        </w:rPr>
        <w:t xml:space="preserve">El-Wakil, Ahmed. 2016. “The Prophet’s Treaty with the Christians of Najran: An Analytical Study to Determine the Authenticity of the Covenants.” </w:t>
      </w:r>
      <w:r w:rsidRPr="00445566">
        <w:rPr>
          <w:rFonts w:ascii="Walisongo" w:hAnsi="Walisongo" w:cs="Times New Roman"/>
          <w:i/>
          <w:iCs/>
          <w:noProof/>
          <w:sz w:val="24"/>
          <w:szCs w:val="24"/>
        </w:rPr>
        <w:t>Journal of Islamic Studies</w:t>
      </w:r>
      <w:r w:rsidRPr="00445566">
        <w:rPr>
          <w:rFonts w:ascii="Walisongo" w:hAnsi="Walisongo" w:cs="Times New Roman"/>
          <w:noProof/>
          <w:sz w:val="24"/>
          <w:szCs w:val="24"/>
        </w:rPr>
        <w:t xml:space="preserve"> 27 (3): 273–354. doi:10.1093/jis/etw027.</w:t>
      </w:r>
    </w:p>
    <w:p w:rsidR="00484286" w:rsidRPr="00445566" w:rsidRDefault="00484286" w:rsidP="00484286">
      <w:pPr>
        <w:pStyle w:val="JUDULSUB"/>
        <w:rPr>
          <w:rFonts w:ascii="Walisongo" w:hAnsi="Walisongo"/>
        </w:rPr>
      </w:pPr>
      <w:r w:rsidRPr="00445566">
        <w:rPr>
          <w:rFonts w:ascii="Walisongo" w:hAnsi="Walisongo"/>
        </w:rPr>
        <w:fldChar w:fldCharType="end"/>
      </w:r>
    </w:p>
    <w:sectPr w:rsidR="00484286" w:rsidRPr="00445566" w:rsidSect="00716FAD">
      <w:headerReference w:type="first" r:id="rId9"/>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26" w:rsidRDefault="00147E26">
      <w:pPr>
        <w:spacing w:after="0" w:line="240" w:lineRule="auto"/>
      </w:pPr>
      <w:r>
        <w:separator/>
      </w:r>
    </w:p>
  </w:endnote>
  <w:endnote w:type="continuationSeparator" w:id="0">
    <w:p w:rsidR="00147E26" w:rsidRDefault="0014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abon LT Std">
    <w:altName w:val="Walisongo"/>
    <w:panose1 w:val="02020602060506020403"/>
    <w:charset w:val="00"/>
    <w:family w:val="roman"/>
    <w:notTrueType/>
    <w:pitch w:val="variable"/>
    <w:sig w:usb0="00000003" w:usb1="00000000" w:usb2="00000000" w:usb3="00000000" w:csb0="00000001" w:csb1="00000000"/>
  </w:font>
  <w:font w:name="Walisongo">
    <w:panose1 w:val="02020602060506020403"/>
    <w:charset w:val="00"/>
    <w:family w:val="roman"/>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26" w:rsidRDefault="00147E26">
      <w:pPr>
        <w:spacing w:after="0" w:line="240" w:lineRule="auto"/>
      </w:pPr>
      <w:r>
        <w:separator/>
      </w:r>
    </w:p>
  </w:footnote>
  <w:footnote w:type="continuationSeparator" w:id="0">
    <w:p w:rsidR="00147E26" w:rsidRDefault="00147E26">
      <w:pPr>
        <w:spacing w:after="0" w:line="240" w:lineRule="auto"/>
      </w:pPr>
      <w:r>
        <w:continuationSeparator/>
      </w:r>
    </w:p>
  </w:footnote>
  <w:footnote w:id="1">
    <w:p w:rsidR="00EB5EDD" w:rsidRPr="00EB5EDD" w:rsidRDefault="00EB5EDD" w:rsidP="00EB5EDD">
      <w:pPr>
        <w:pStyle w:val="FootnoteText"/>
      </w:pPr>
      <w:r>
        <w:rPr>
          <w:rStyle w:val="FootnoteReference"/>
        </w:rPr>
        <w:footnoteRef/>
      </w:r>
      <w:r>
        <w:t xml:space="preserve"> </w:t>
      </w:r>
      <w:r w:rsidRPr="00EB5EDD">
        <w:t xml:space="preserve">first email, </w:t>
      </w:r>
      <w:r w:rsidRPr="00EB5EDD">
        <w:rPr>
          <w:vertAlign w:val="superscript"/>
        </w:rPr>
        <w:t>2</w:t>
      </w:r>
      <w:r>
        <w:rPr>
          <w:vertAlign w:val="superscript"/>
        </w:rPr>
        <w:t xml:space="preserve"> </w:t>
      </w:r>
      <w:r w:rsidRPr="00EB5EDD">
        <w:t xml:space="preserve">second email, </w:t>
      </w:r>
      <w:r w:rsidRPr="00EB5EDD">
        <w:rPr>
          <w:vertAlign w:val="superscript"/>
        </w:rPr>
        <w:t>3</w:t>
      </w:r>
      <w:r>
        <w:rPr>
          <w:vertAlign w:val="superscript"/>
        </w:rPr>
        <w:t xml:space="preserve"> </w:t>
      </w:r>
      <w:r w:rsidRPr="00EB5EDD">
        <w:t>third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65" w:rsidRDefault="00A1256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wNjY3NrcwtzAyMbZU0lEKTi0uzszPAykwNK4FACWHmwwtAAAA"/>
  </w:docVars>
  <w:rsids>
    <w:rsidRoot w:val="00D47820"/>
    <w:rsid w:val="000172D4"/>
    <w:rsid w:val="000338C2"/>
    <w:rsid w:val="0003748D"/>
    <w:rsid w:val="000B5320"/>
    <w:rsid w:val="000B5477"/>
    <w:rsid w:val="00146ACD"/>
    <w:rsid w:val="00147E26"/>
    <w:rsid w:val="0018360E"/>
    <w:rsid w:val="00184D6F"/>
    <w:rsid w:val="001F35AC"/>
    <w:rsid w:val="0021577D"/>
    <w:rsid w:val="002479F1"/>
    <w:rsid w:val="00275E8C"/>
    <w:rsid w:val="002A3B81"/>
    <w:rsid w:val="002A577F"/>
    <w:rsid w:val="002A6F49"/>
    <w:rsid w:val="002D693E"/>
    <w:rsid w:val="003732FB"/>
    <w:rsid w:val="003B09FB"/>
    <w:rsid w:val="0041480E"/>
    <w:rsid w:val="004209E5"/>
    <w:rsid w:val="00430ADA"/>
    <w:rsid w:val="0043367C"/>
    <w:rsid w:val="00445566"/>
    <w:rsid w:val="00483659"/>
    <w:rsid w:val="00484286"/>
    <w:rsid w:val="005110FD"/>
    <w:rsid w:val="005320AD"/>
    <w:rsid w:val="00544816"/>
    <w:rsid w:val="005569B5"/>
    <w:rsid w:val="0056000E"/>
    <w:rsid w:val="005666A6"/>
    <w:rsid w:val="0059324B"/>
    <w:rsid w:val="005B3542"/>
    <w:rsid w:val="005C0CFA"/>
    <w:rsid w:val="005C35E7"/>
    <w:rsid w:val="005E2D51"/>
    <w:rsid w:val="005E7564"/>
    <w:rsid w:val="005F08FA"/>
    <w:rsid w:val="005F1B61"/>
    <w:rsid w:val="005F7BCD"/>
    <w:rsid w:val="00604D6D"/>
    <w:rsid w:val="00605990"/>
    <w:rsid w:val="0065660C"/>
    <w:rsid w:val="00656836"/>
    <w:rsid w:val="00716FAD"/>
    <w:rsid w:val="00726F8D"/>
    <w:rsid w:val="007979FE"/>
    <w:rsid w:val="007A2C7A"/>
    <w:rsid w:val="007B1BD6"/>
    <w:rsid w:val="007B239C"/>
    <w:rsid w:val="007B7FAB"/>
    <w:rsid w:val="008036B0"/>
    <w:rsid w:val="0084423D"/>
    <w:rsid w:val="008448D6"/>
    <w:rsid w:val="0086769B"/>
    <w:rsid w:val="00886FAD"/>
    <w:rsid w:val="008D4F82"/>
    <w:rsid w:val="00907D2A"/>
    <w:rsid w:val="00922FD1"/>
    <w:rsid w:val="00942DDC"/>
    <w:rsid w:val="00956634"/>
    <w:rsid w:val="009B0E7D"/>
    <w:rsid w:val="009B3EBF"/>
    <w:rsid w:val="00A018AC"/>
    <w:rsid w:val="00A01B39"/>
    <w:rsid w:val="00A12565"/>
    <w:rsid w:val="00A4617B"/>
    <w:rsid w:val="00A76857"/>
    <w:rsid w:val="00AB02AC"/>
    <w:rsid w:val="00B20609"/>
    <w:rsid w:val="00B91BF8"/>
    <w:rsid w:val="00B9747C"/>
    <w:rsid w:val="00BB236B"/>
    <w:rsid w:val="00BE1BD7"/>
    <w:rsid w:val="00CB5822"/>
    <w:rsid w:val="00CD3B70"/>
    <w:rsid w:val="00CD57EC"/>
    <w:rsid w:val="00CE636A"/>
    <w:rsid w:val="00CE686C"/>
    <w:rsid w:val="00D47820"/>
    <w:rsid w:val="00D615EC"/>
    <w:rsid w:val="00D95EC0"/>
    <w:rsid w:val="00DB6BA5"/>
    <w:rsid w:val="00DD4722"/>
    <w:rsid w:val="00E04A28"/>
    <w:rsid w:val="00E521C1"/>
    <w:rsid w:val="00E64249"/>
    <w:rsid w:val="00E85CB5"/>
    <w:rsid w:val="00E96E8E"/>
    <w:rsid w:val="00EB3024"/>
    <w:rsid w:val="00EB5EDD"/>
    <w:rsid w:val="00EE263C"/>
    <w:rsid w:val="00F024D3"/>
    <w:rsid w:val="00F15271"/>
    <w:rsid w:val="00F16604"/>
    <w:rsid w:val="00F3798E"/>
    <w:rsid w:val="00F421D0"/>
    <w:rsid w:val="00F54E2C"/>
    <w:rsid w:val="00FC3198"/>
    <w:rsid w:val="00FC699D"/>
    <w:rsid w:val="00FF0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8" w:line="262" w:lineRule="auto"/>
      <w:ind w:left="435" w:right="8" w:hanging="435"/>
      <w:jc w:val="both"/>
    </w:pPr>
    <w:rPr>
      <w:rFonts w:ascii="Cambria" w:eastAsia="Cambria" w:hAnsi="Cambria" w:cs="Cambria"/>
      <w:color w:val="000000"/>
      <w:sz w:val="21"/>
    </w:rPr>
  </w:style>
  <w:style w:type="paragraph" w:styleId="Heading1">
    <w:name w:val="heading 1"/>
    <w:next w:val="Normal"/>
    <w:link w:val="Heading1Char"/>
    <w:uiPriority w:val="9"/>
    <w:unhideWhenUsed/>
    <w:qFormat/>
    <w:pPr>
      <w:keepNext/>
      <w:keepLines/>
      <w:spacing w:after="0"/>
      <w:ind w:right="12"/>
      <w:jc w:val="center"/>
      <w:outlineLvl w:val="0"/>
    </w:pPr>
    <w:rPr>
      <w:rFonts w:ascii="Cambria" w:eastAsia="Cambria" w:hAnsi="Cambria" w:cs="Cambria"/>
      <w:b/>
      <w:color w:val="000000"/>
      <w:sz w:val="26"/>
    </w:rPr>
  </w:style>
  <w:style w:type="paragraph" w:styleId="Heading2">
    <w:name w:val="heading 2"/>
    <w:next w:val="Normal"/>
    <w:link w:val="Heading2Char"/>
    <w:uiPriority w:val="9"/>
    <w:unhideWhenUsed/>
    <w:qFormat/>
    <w:pPr>
      <w:keepNext/>
      <w:keepLines/>
      <w:spacing w:after="43"/>
      <w:ind w:left="10"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7"/>
      <w:ind w:left="10" w:hanging="10"/>
      <w:outlineLvl w:val="2"/>
    </w:pPr>
    <w:rPr>
      <w:rFonts w:ascii="Calibri" w:eastAsia="Calibri" w:hAnsi="Calibri" w:cs="Calibri"/>
      <w:color w:val="000000"/>
    </w:rPr>
  </w:style>
  <w:style w:type="paragraph" w:styleId="Heading4">
    <w:name w:val="heading 4"/>
    <w:next w:val="Normal"/>
    <w:link w:val="Heading4Char"/>
    <w:uiPriority w:val="9"/>
    <w:unhideWhenUsed/>
    <w:qFormat/>
    <w:pPr>
      <w:keepNext/>
      <w:keepLines/>
      <w:spacing w:after="283"/>
      <w:ind w:left="10"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26"/>
    </w:rPr>
  </w:style>
  <w:style w:type="character" w:customStyle="1" w:styleId="Heading2Char">
    <w:name w:val="Heading 2 Char"/>
    <w:link w:val="Heading2"/>
    <w:uiPriority w:val="9"/>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D4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82"/>
    <w:rPr>
      <w:rFonts w:ascii="Cambria" w:eastAsia="Cambria" w:hAnsi="Cambria" w:cs="Cambria"/>
      <w:color w:val="000000"/>
      <w:sz w:val="21"/>
    </w:rPr>
  </w:style>
  <w:style w:type="paragraph" w:styleId="Footer">
    <w:name w:val="footer"/>
    <w:basedOn w:val="Normal"/>
    <w:link w:val="FooterChar"/>
    <w:uiPriority w:val="99"/>
    <w:unhideWhenUsed/>
    <w:rsid w:val="008D4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82"/>
    <w:rPr>
      <w:rFonts w:ascii="Cambria" w:eastAsia="Cambria" w:hAnsi="Cambria" w:cs="Cambria"/>
      <w:color w:val="000000"/>
      <w:sz w:val="21"/>
    </w:rPr>
  </w:style>
  <w:style w:type="paragraph" w:customStyle="1" w:styleId="JISH1STPAGE">
    <w:name w:val="JISH 1ST PAGE"/>
    <w:basedOn w:val="Heading3"/>
    <w:qFormat/>
    <w:rsid w:val="00FC699D"/>
    <w:pPr>
      <w:keepNext w:val="0"/>
      <w:keepLines w:val="0"/>
      <w:spacing w:after="0" w:line="240" w:lineRule="auto"/>
      <w:ind w:left="0" w:firstLine="0"/>
      <w:jc w:val="right"/>
    </w:pPr>
    <w:rPr>
      <w:rFonts w:ascii="Garamond" w:eastAsia="Times New Roman" w:hAnsi="Garamond" w:cs="Times New Roman"/>
      <w:i/>
      <w:color w:val="auto"/>
      <w:sz w:val="24"/>
      <w:szCs w:val="20"/>
      <w:lang w:val="id-ID" w:eastAsia="id-ID"/>
    </w:rPr>
  </w:style>
  <w:style w:type="paragraph" w:customStyle="1" w:styleId="VOLUMEDOI">
    <w:name w:val="VOLUME DOI"/>
    <w:basedOn w:val="Normal"/>
    <w:qFormat/>
    <w:rsid w:val="00FC699D"/>
    <w:pPr>
      <w:spacing w:after="0" w:line="240" w:lineRule="auto"/>
      <w:ind w:left="0" w:right="0" w:firstLine="0"/>
      <w:jc w:val="right"/>
    </w:pPr>
    <w:rPr>
      <w:rFonts w:ascii="Garamond" w:eastAsiaTheme="minorHAnsi" w:hAnsi="Garamond" w:cstheme="minorBidi"/>
      <w:color w:val="auto"/>
      <w:sz w:val="24"/>
      <w:szCs w:val="20"/>
      <w:lang w:val="id-ID"/>
    </w:rPr>
  </w:style>
  <w:style w:type="paragraph" w:customStyle="1" w:styleId="JUDUL">
    <w:name w:val="JUDUL"/>
    <w:basedOn w:val="Normal"/>
    <w:qFormat/>
    <w:rsid w:val="00656836"/>
    <w:pPr>
      <w:spacing w:before="600" w:after="480" w:line="240" w:lineRule="auto"/>
      <w:ind w:left="0" w:right="0" w:firstLine="0"/>
      <w:jc w:val="center"/>
    </w:pPr>
    <w:rPr>
      <w:rFonts w:ascii="Garamond" w:eastAsiaTheme="minorHAnsi" w:hAnsi="Garamond" w:cstheme="minorBidi"/>
      <w:caps/>
      <w:color w:val="auto"/>
      <w:sz w:val="26"/>
      <w:szCs w:val="24"/>
    </w:rPr>
  </w:style>
  <w:style w:type="paragraph" w:customStyle="1" w:styleId="PENULIS">
    <w:name w:val="PENULIS"/>
    <w:basedOn w:val="Normal"/>
    <w:qFormat/>
    <w:rsid w:val="007979FE"/>
    <w:pPr>
      <w:spacing w:before="120" w:after="0" w:line="240" w:lineRule="auto"/>
      <w:ind w:left="0" w:right="0" w:firstLine="0"/>
      <w:jc w:val="center"/>
    </w:pPr>
    <w:rPr>
      <w:rFonts w:ascii="Garamond" w:eastAsiaTheme="minorHAnsi" w:hAnsi="Garamond" w:cstheme="minorBidi"/>
      <w:bCs/>
      <w:caps/>
      <w:color w:val="auto"/>
      <w:spacing w:val="30"/>
      <w:sz w:val="19"/>
      <w:szCs w:val="24"/>
    </w:rPr>
  </w:style>
  <w:style w:type="character" w:styleId="Hyperlink">
    <w:name w:val="Hyperlink"/>
    <w:basedOn w:val="DefaultParagraphFont"/>
    <w:uiPriority w:val="99"/>
    <w:unhideWhenUsed/>
    <w:rsid w:val="00FC699D"/>
    <w:rPr>
      <w:color w:val="0563C1" w:themeColor="hyperlink"/>
      <w:u w:val="single"/>
    </w:rPr>
  </w:style>
  <w:style w:type="paragraph" w:customStyle="1" w:styleId="EMAIL">
    <w:name w:val="EMAIL"/>
    <w:basedOn w:val="Normal"/>
    <w:qFormat/>
    <w:rsid w:val="00FC699D"/>
    <w:pPr>
      <w:spacing w:after="600" w:line="240" w:lineRule="auto"/>
      <w:ind w:left="0" w:right="0" w:firstLine="0"/>
      <w:jc w:val="center"/>
    </w:pPr>
    <w:rPr>
      <w:rFonts w:ascii="Garamond" w:eastAsiaTheme="minorHAnsi" w:hAnsi="Garamond" w:cstheme="minorBidi"/>
      <w:bCs/>
      <w:color w:val="auto"/>
      <w:sz w:val="20"/>
      <w:szCs w:val="24"/>
    </w:rPr>
  </w:style>
  <w:style w:type="paragraph" w:customStyle="1" w:styleId="ABSTRACTJUDUL">
    <w:name w:val="ABSTRACT JUDUL"/>
    <w:basedOn w:val="Normal"/>
    <w:qFormat/>
    <w:rsid w:val="00F16604"/>
    <w:pPr>
      <w:spacing w:after="0" w:line="240" w:lineRule="auto"/>
      <w:ind w:left="170" w:right="0" w:firstLine="0"/>
      <w:jc w:val="left"/>
    </w:pPr>
    <w:rPr>
      <w:rFonts w:ascii="Garamond" w:eastAsiaTheme="minorHAnsi" w:hAnsi="Garamond" w:cstheme="minorBidi"/>
      <w:b/>
      <w:i/>
      <w:color w:val="auto"/>
      <w:sz w:val="22"/>
      <w:szCs w:val="20"/>
    </w:rPr>
  </w:style>
  <w:style w:type="paragraph" w:customStyle="1" w:styleId="ABSTRACT">
    <w:name w:val="ABSTRACT"/>
    <w:basedOn w:val="Normal"/>
    <w:qFormat/>
    <w:rsid w:val="00F16604"/>
    <w:pPr>
      <w:spacing w:after="0" w:line="240" w:lineRule="auto"/>
      <w:ind w:left="170" w:right="170" w:firstLine="0"/>
    </w:pPr>
    <w:rPr>
      <w:rFonts w:ascii="Garamond" w:eastAsiaTheme="minorHAnsi" w:hAnsi="Garamond" w:cstheme="minorBidi"/>
      <w:i/>
      <w:color w:val="auto"/>
      <w:sz w:val="22"/>
      <w:szCs w:val="20"/>
      <w:lang w:val="en" w:eastAsia="id-ID"/>
    </w:rPr>
  </w:style>
  <w:style w:type="paragraph" w:customStyle="1" w:styleId="ABSTRAK">
    <w:name w:val="ABSTRAK"/>
    <w:basedOn w:val="Normal"/>
    <w:qFormat/>
    <w:rsid w:val="00F16604"/>
    <w:pPr>
      <w:shd w:val="clear" w:color="auto" w:fill="FFFFFF"/>
      <w:spacing w:after="0" w:line="240" w:lineRule="auto"/>
      <w:ind w:left="170" w:right="170" w:firstLine="0"/>
    </w:pPr>
    <w:rPr>
      <w:rFonts w:ascii="Garamond" w:eastAsiaTheme="minorHAnsi" w:hAnsi="Garamond" w:cstheme="minorBidi"/>
      <w:color w:val="212121"/>
      <w:sz w:val="22"/>
      <w:szCs w:val="20"/>
      <w:lang w:val="id-ID" w:eastAsia="id-ID"/>
    </w:rPr>
  </w:style>
  <w:style w:type="paragraph" w:customStyle="1" w:styleId="KEYWORD">
    <w:name w:val="KEYWORD"/>
    <w:basedOn w:val="Normal"/>
    <w:qFormat/>
    <w:rsid w:val="00F16604"/>
    <w:pPr>
      <w:spacing w:before="120" w:after="0" w:line="240" w:lineRule="auto"/>
      <w:ind w:left="1304" w:right="0" w:hanging="1134"/>
    </w:pPr>
    <w:rPr>
      <w:rFonts w:ascii="Garamond" w:eastAsiaTheme="minorHAnsi" w:hAnsi="Garamond" w:cstheme="minorBidi"/>
      <w:bCs/>
      <w:color w:val="auto"/>
      <w:sz w:val="22"/>
      <w:szCs w:val="20"/>
    </w:rPr>
  </w:style>
  <w:style w:type="paragraph" w:customStyle="1" w:styleId="INSTANSI">
    <w:name w:val="INSTANSI"/>
    <w:basedOn w:val="Normal"/>
    <w:qFormat/>
    <w:rsid w:val="007979FE"/>
    <w:pPr>
      <w:spacing w:after="0" w:line="240" w:lineRule="auto"/>
      <w:ind w:left="0" w:right="0" w:firstLine="0"/>
      <w:jc w:val="center"/>
    </w:pPr>
    <w:rPr>
      <w:rFonts w:ascii="Garamond" w:eastAsiaTheme="minorHAnsi" w:hAnsi="Garamond" w:cstheme="minorBidi"/>
      <w:bCs/>
      <w:i/>
      <w:color w:val="auto"/>
      <w:sz w:val="22"/>
      <w:szCs w:val="24"/>
    </w:rPr>
  </w:style>
  <w:style w:type="paragraph" w:customStyle="1" w:styleId="JUDULSUB">
    <w:name w:val="JUDUL SUB"/>
    <w:basedOn w:val="Normal"/>
    <w:qFormat/>
    <w:rsid w:val="005E2D51"/>
    <w:pPr>
      <w:spacing w:before="120" w:after="120" w:line="276" w:lineRule="auto"/>
      <w:ind w:left="0" w:right="0" w:firstLine="0"/>
      <w:jc w:val="left"/>
    </w:pPr>
    <w:rPr>
      <w:rFonts w:ascii="Garamond" w:eastAsiaTheme="minorHAnsi" w:hAnsi="Garamond" w:cstheme="minorBidi"/>
      <w:b/>
      <w:color w:val="auto"/>
      <w:sz w:val="24"/>
      <w:szCs w:val="24"/>
    </w:rPr>
  </w:style>
  <w:style w:type="paragraph" w:customStyle="1" w:styleId="ISI">
    <w:name w:val="ISI"/>
    <w:basedOn w:val="ListParagraph"/>
    <w:qFormat/>
    <w:rsid w:val="00716FAD"/>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5E2D51"/>
    <w:pPr>
      <w:ind w:left="720"/>
      <w:contextualSpacing/>
    </w:pPr>
  </w:style>
  <w:style w:type="paragraph" w:styleId="FootnoteText">
    <w:name w:val="footnote text"/>
    <w:basedOn w:val="Normal"/>
    <w:link w:val="FootnoteTextChar"/>
    <w:uiPriority w:val="99"/>
    <w:semiHidden/>
    <w:unhideWhenUsed/>
    <w:rsid w:val="005E2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D51"/>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5E2D51"/>
    <w:rPr>
      <w:vertAlign w:val="superscript"/>
    </w:rPr>
  </w:style>
  <w:style w:type="paragraph" w:customStyle="1" w:styleId="TERJEMAH">
    <w:name w:val="TERJEMAH"/>
    <w:basedOn w:val="Normal"/>
    <w:qFormat/>
    <w:rsid w:val="005E2D51"/>
    <w:pPr>
      <w:spacing w:before="120" w:after="120" w:line="240" w:lineRule="auto"/>
      <w:ind w:left="397" w:right="284" w:firstLine="0"/>
    </w:pPr>
    <w:rPr>
      <w:rFonts w:ascii="Garamond" w:eastAsiaTheme="minorHAnsi" w:hAnsi="Garamond" w:cstheme="minorBidi"/>
      <w:i/>
      <w:color w:val="auto"/>
      <w:sz w:val="24"/>
      <w:szCs w:val="24"/>
    </w:rPr>
  </w:style>
  <w:style w:type="paragraph" w:customStyle="1" w:styleId="TABEL-GAMBAR">
    <w:name w:val="TABEL-GAMBAR"/>
    <w:basedOn w:val="TERJEMAH"/>
    <w:qFormat/>
    <w:rsid w:val="005E2D51"/>
    <w:pPr>
      <w:spacing w:after="240"/>
      <w:ind w:left="0" w:right="17"/>
      <w:jc w:val="center"/>
    </w:pPr>
  </w:style>
  <w:style w:type="paragraph" w:customStyle="1" w:styleId="Bibliography1">
    <w:name w:val="Bibliography1"/>
    <w:basedOn w:val="ISI"/>
    <w:qFormat/>
    <w:rsid w:val="00F16604"/>
    <w:pPr>
      <w:spacing w:after="120"/>
      <w:ind w:left="567" w:hanging="567"/>
    </w:pPr>
  </w:style>
  <w:style w:type="paragraph" w:customStyle="1" w:styleId="ISSNc">
    <w:name w:val="ISSN (c)"/>
    <w:basedOn w:val="Normal"/>
    <w:qFormat/>
    <w:rsid w:val="00CE636A"/>
    <w:pPr>
      <w:spacing w:after="0" w:line="240" w:lineRule="auto"/>
      <w:ind w:left="0" w:right="0" w:firstLine="0"/>
      <w:jc w:val="left"/>
    </w:pPr>
    <w:rPr>
      <w:rFonts w:ascii="Sabon LT Std" w:eastAsiaTheme="minorHAnsi" w:hAnsi="Sabon LT Std" w:cstheme="minorBidi"/>
      <w:color w:val="auto"/>
      <w:sz w:val="18"/>
      <w:szCs w:val="18"/>
    </w:rPr>
  </w:style>
  <w:style w:type="paragraph" w:customStyle="1" w:styleId="CM17">
    <w:name w:val="CM17"/>
    <w:basedOn w:val="Normal"/>
    <w:next w:val="Normal"/>
    <w:uiPriority w:val="99"/>
    <w:rsid w:val="00922FD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E85CB5"/>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F1527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15271"/>
  </w:style>
  <w:style w:type="character" w:styleId="Strong">
    <w:name w:val="Strong"/>
    <w:basedOn w:val="DefaultParagraphFont"/>
    <w:uiPriority w:val="22"/>
    <w:qFormat/>
    <w:rsid w:val="00F15271"/>
    <w:rPr>
      <w:b/>
      <w:bCs/>
    </w:rPr>
  </w:style>
  <w:style w:type="character" w:styleId="Emphasis">
    <w:name w:val="Emphasis"/>
    <w:basedOn w:val="DefaultParagraphFont"/>
    <w:uiPriority w:val="20"/>
    <w:qFormat/>
    <w:rsid w:val="005C3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4655">
      <w:bodyDiv w:val="1"/>
      <w:marLeft w:val="0"/>
      <w:marRight w:val="0"/>
      <w:marTop w:val="0"/>
      <w:marBottom w:val="0"/>
      <w:divBdr>
        <w:top w:val="none" w:sz="0" w:space="0" w:color="auto"/>
        <w:left w:val="none" w:sz="0" w:space="0" w:color="auto"/>
        <w:bottom w:val="none" w:sz="0" w:space="0" w:color="auto"/>
        <w:right w:val="none" w:sz="0" w:space="0" w:color="auto"/>
      </w:divBdr>
    </w:div>
    <w:div w:id="366027221">
      <w:bodyDiv w:val="1"/>
      <w:marLeft w:val="0"/>
      <w:marRight w:val="0"/>
      <w:marTop w:val="0"/>
      <w:marBottom w:val="0"/>
      <w:divBdr>
        <w:top w:val="none" w:sz="0" w:space="0" w:color="auto"/>
        <w:left w:val="none" w:sz="0" w:space="0" w:color="auto"/>
        <w:bottom w:val="none" w:sz="0" w:space="0" w:color="auto"/>
        <w:right w:val="none" w:sz="0" w:space="0" w:color="auto"/>
      </w:divBdr>
    </w:div>
    <w:div w:id="795804575">
      <w:bodyDiv w:val="1"/>
      <w:marLeft w:val="0"/>
      <w:marRight w:val="0"/>
      <w:marTop w:val="0"/>
      <w:marBottom w:val="0"/>
      <w:divBdr>
        <w:top w:val="none" w:sz="0" w:space="0" w:color="auto"/>
        <w:left w:val="none" w:sz="0" w:space="0" w:color="auto"/>
        <w:bottom w:val="none" w:sz="0" w:space="0" w:color="auto"/>
        <w:right w:val="none" w:sz="0" w:space="0" w:color="auto"/>
      </w:divBdr>
    </w:div>
    <w:div w:id="973483543">
      <w:bodyDiv w:val="1"/>
      <w:marLeft w:val="0"/>
      <w:marRight w:val="0"/>
      <w:marTop w:val="0"/>
      <w:marBottom w:val="0"/>
      <w:divBdr>
        <w:top w:val="none" w:sz="0" w:space="0" w:color="auto"/>
        <w:left w:val="none" w:sz="0" w:space="0" w:color="auto"/>
        <w:bottom w:val="none" w:sz="0" w:space="0" w:color="auto"/>
        <w:right w:val="none" w:sz="0" w:space="0" w:color="auto"/>
      </w:divBdr>
      <w:divsChild>
        <w:div w:id="1950814478">
          <w:marLeft w:val="288"/>
          <w:marRight w:val="0"/>
          <w:marTop w:val="0"/>
          <w:marBottom w:val="0"/>
          <w:divBdr>
            <w:top w:val="none" w:sz="0" w:space="0" w:color="auto"/>
            <w:left w:val="none" w:sz="0" w:space="0" w:color="auto"/>
            <w:bottom w:val="none" w:sz="0" w:space="0" w:color="auto"/>
            <w:right w:val="none" w:sz="0" w:space="0" w:color="auto"/>
          </w:divBdr>
        </w:div>
        <w:div w:id="1105687168">
          <w:marLeft w:val="288"/>
          <w:marRight w:val="0"/>
          <w:marTop w:val="0"/>
          <w:marBottom w:val="0"/>
          <w:divBdr>
            <w:top w:val="none" w:sz="0" w:space="0" w:color="auto"/>
            <w:left w:val="none" w:sz="0" w:space="0" w:color="auto"/>
            <w:bottom w:val="none" w:sz="0" w:space="0" w:color="auto"/>
            <w:right w:val="none" w:sz="0" w:space="0" w:color="auto"/>
          </w:divBdr>
        </w:div>
        <w:div w:id="953485280">
          <w:marLeft w:val="288"/>
          <w:marRight w:val="0"/>
          <w:marTop w:val="0"/>
          <w:marBottom w:val="0"/>
          <w:divBdr>
            <w:top w:val="none" w:sz="0" w:space="0" w:color="auto"/>
            <w:left w:val="none" w:sz="0" w:space="0" w:color="auto"/>
            <w:bottom w:val="none" w:sz="0" w:space="0" w:color="auto"/>
            <w:right w:val="none" w:sz="0" w:space="0" w:color="auto"/>
          </w:divBdr>
        </w:div>
        <w:div w:id="738602929">
          <w:marLeft w:val="288"/>
          <w:marRight w:val="0"/>
          <w:marTop w:val="0"/>
          <w:marBottom w:val="0"/>
          <w:divBdr>
            <w:top w:val="none" w:sz="0" w:space="0" w:color="auto"/>
            <w:left w:val="none" w:sz="0" w:space="0" w:color="auto"/>
            <w:bottom w:val="none" w:sz="0" w:space="0" w:color="auto"/>
            <w:right w:val="none" w:sz="0" w:space="0" w:color="auto"/>
          </w:divBdr>
        </w:div>
      </w:divsChild>
    </w:div>
    <w:div w:id="1092236099">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sChild>
        <w:div w:id="408770096">
          <w:marLeft w:val="288"/>
          <w:marRight w:val="0"/>
          <w:marTop w:val="0"/>
          <w:marBottom w:val="0"/>
          <w:divBdr>
            <w:top w:val="none" w:sz="0" w:space="0" w:color="auto"/>
            <w:left w:val="none" w:sz="0" w:space="0" w:color="auto"/>
            <w:bottom w:val="none" w:sz="0" w:space="0" w:color="auto"/>
            <w:right w:val="none" w:sz="0" w:space="0" w:color="auto"/>
          </w:divBdr>
        </w:div>
        <w:div w:id="432020231">
          <w:marLeft w:val="288"/>
          <w:marRight w:val="0"/>
          <w:marTop w:val="0"/>
          <w:marBottom w:val="0"/>
          <w:divBdr>
            <w:top w:val="none" w:sz="0" w:space="0" w:color="auto"/>
            <w:left w:val="none" w:sz="0" w:space="0" w:color="auto"/>
            <w:bottom w:val="none" w:sz="0" w:space="0" w:color="auto"/>
            <w:right w:val="none" w:sz="0" w:space="0" w:color="auto"/>
          </w:divBdr>
        </w:div>
      </w:divsChild>
    </w:div>
    <w:div w:id="1575504924">
      <w:bodyDiv w:val="1"/>
      <w:marLeft w:val="0"/>
      <w:marRight w:val="0"/>
      <w:marTop w:val="0"/>
      <w:marBottom w:val="0"/>
      <w:divBdr>
        <w:top w:val="none" w:sz="0" w:space="0" w:color="auto"/>
        <w:left w:val="none" w:sz="0" w:space="0" w:color="auto"/>
        <w:bottom w:val="none" w:sz="0" w:space="0" w:color="auto"/>
        <w:right w:val="none" w:sz="0" w:space="0" w:color="auto"/>
      </w:divBdr>
    </w:div>
    <w:div w:id="1732072244">
      <w:bodyDiv w:val="1"/>
      <w:marLeft w:val="0"/>
      <w:marRight w:val="0"/>
      <w:marTop w:val="0"/>
      <w:marBottom w:val="0"/>
      <w:divBdr>
        <w:top w:val="none" w:sz="0" w:space="0" w:color="auto"/>
        <w:left w:val="none" w:sz="0" w:space="0" w:color="auto"/>
        <w:bottom w:val="none" w:sz="0" w:space="0" w:color="auto"/>
        <w:right w:val="none" w:sz="0" w:space="0" w:color="auto"/>
      </w:divBdr>
      <w:divsChild>
        <w:div w:id="2019648372">
          <w:marLeft w:val="288"/>
          <w:marRight w:val="0"/>
          <w:marTop w:val="0"/>
          <w:marBottom w:val="0"/>
          <w:divBdr>
            <w:top w:val="none" w:sz="0" w:space="0" w:color="auto"/>
            <w:left w:val="none" w:sz="0" w:space="0" w:color="auto"/>
            <w:bottom w:val="none" w:sz="0" w:space="0" w:color="auto"/>
            <w:right w:val="none" w:sz="0" w:space="0" w:color="auto"/>
          </w:divBdr>
        </w:div>
        <w:div w:id="1919441090">
          <w:marLeft w:val="288"/>
          <w:marRight w:val="0"/>
          <w:marTop w:val="0"/>
          <w:marBottom w:val="0"/>
          <w:divBdr>
            <w:top w:val="none" w:sz="0" w:space="0" w:color="auto"/>
            <w:left w:val="none" w:sz="0" w:space="0" w:color="auto"/>
            <w:bottom w:val="none" w:sz="0" w:space="0" w:color="auto"/>
            <w:right w:val="none" w:sz="0" w:space="0" w:color="auto"/>
          </w:divBdr>
        </w:div>
        <w:div w:id="537353212">
          <w:marLeft w:val="288"/>
          <w:marRight w:val="0"/>
          <w:marTop w:val="0"/>
          <w:marBottom w:val="0"/>
          <w:divBdr>
            <w:top w:val="none" w:sz="0" w:space="0" w:color="auto"/>
            <w:left w:val="none" w:sz="0" w:space="0" w:color="auto"/>
            <w:bottom w:val="none" w:sz="0" w:space="0" w:color="auto"/>
            <w:right w:val="none" w:sz="0" w:space="0" w:color="auto"/>
          </w:divBdr>
        </w:div>
        <w:div w:id="1772318530">
          <w:marLeft w:val="28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058A-BC61-4606-9FB8-2EADF78B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2019-01-14T02:32:00Z</dcterms:created>
  <dcterms:modified xsi:type="dcterms:W3CDTF">2019-01-14T02:32:00Z</dcterms:modified>
</cp:coreProperties>
</file>